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1"/>
        <w:keepNext/>
        <w:keepLines/>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ascii="方正小标宋_GBK" w:hAnsi="方正小标宋_GBK" w:eastAsia="方正小标宋_GBK" w:cs="方正小标宋_GBK"/>
          <w:b w:val="0"/>
          <w:bCs w:val="0"/>
          <w:sz w:val="44"/>
          <w:szCs w:val="44"/>
        </w:rPr>
      </w:pPr>
      <w:bookmarkStart w:id="3" w:name="_GoBack"/>
      <w:bookmarkEnd w:id="3"/>
      <w:r>
        <w:rPr>
          <w:rFonts w:hint="eastAsia" w:ascii="方正小标宋_GBK" w:hAnsi="方正小标宋_GBK" w:eastAsia="方正小标宋_GBK" w:cs="方正小标宋_GBK"/>
          <w:b w:val="0"/>
          <w:bCs w:val="0"/>
          <w:sz w:val="44"/>
          <w:szCs w:val="44"/>
        </w:rPr>
        <w:t>苏州市无障碍设施管理办法</w:t>
      </w:r>
    </w:p>
    <w:p>
      <w:pPr>
        <w:pStyle w:val="21"/>
        <w:keepNext/>
        <w:keepLines/>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ascii="方正小标宋_GBK" w:hAnsi="方正小标宋_GBK" w:eastAsia="方正小标宋_GBK" w:cs="方正小标宋_GBK"/>
          <w:b w:val="0"/>
          <w:bCs w:val="0"/>
          <w:sz w:val="44"/>
          <w:szCs w:val="44"/>
        </w:rPr>
      </w:pPr>
      <w:r>
        <w:rPr>
          <w:rFonts w:hint="eastAsia" w:ascii="方正小标宋_GBK" w:hAnsi="方正小标宋_GBK" w:eastAsia="方正小标宋_GBK" w:cs="方正小标宋_GBK"/>
          <w:b w:val="0"/>
          <w:bCs w:val="0"/>
          <w:sz w:val="44"/>
          <w:szCs w:val="44"/>
        </w:rPr>
        <w:t>（修改征求意见稿）</w:t>
      </w:r>
    </w:p>
    <w:p>
      <w:pPr>
        <w:pStyle w:val="21"/>
        <w:spacing w:line="600" w:lineRule="exact"/>
        <w:ind w:firstLine="0" w:firstLineChars="0"/>
        <w:jc w:val="center"/>
        <w:rPr>
          <w:rFonts w:ascii="方正小标宋_GBK" w:hAnsi="方正小标宋_GBK" w:eastAsia="方正小标宋_GBK" w:cs="方正小标宋_GBK"/>
          <w:sz w:val="44"/>
          <w:szCs w:val="44"/>
        </w:rPr>
      </w:pP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黑体" w:eastAsia="仿宋_GB2312"/>
          <w:sz w:val="32"/>
          <w:szCs w:val="32"/>
        </w:rPr>
      </w:pPr>
      <w:r>
        <w:rPr>
          <w:rFonts w:hint="eastAsia" w:ascii="黑体" w:hAnsi="黑体" w:eastAsia="黑体"/>
          <w:sz w:val="32"/>
          <w:szCs w:val="32"/>
        </w:rPr>
        <w:t xml:space="preserve">第一条（立法目的）  </w:t>
      </w:r>
      <w:r>
        <w:rPr>
          <w:rFonts w:hint="eastAsia" w:ascii="仿宋_GB2312" w:hAnsi="黑体" w:eastAsia="仿宋_GB2312"/>
          <w:sz w:val="32"/>
          <w:szCs w:val="32"/>
        </w:rPr>
        <w:t>为了加强无障碍设施建设、改造、维护和管理，保障残疾人、老年人平等、充分、便捷地参与和融入社会生活，高质量建设创新、宜居、美丽、韧性、文明、智慧的现代化人民城市，根据《中华人民共和国无障碍环境建设法》等法律、法规，结合本市实际，制定本办法。</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黑体" w:eastAsia="仿宋_GB2312"/>
          <w:sz w:val="32"/>
          <w:szCs w:val="32"/>
        </w:rPr>
      </w:pPr>
      <w:r>
        <w:rPr>
          <w:rFonts w:hint="eastAsia" w:ascii="黑体" w:hAnsi="黑体" w:eastAsia="黑体"/>
          <w:sz w:val="32"/>
          <w:szCs w:val="32"/>
        </w:rPr>
        <w:t>第二条（适用范围）</w:t>
      </w:r>
      <w:r>
        <w:rPr>
          <w:rFonts w:hint="eastAsia" w:ascii="仿宋_GB2312" w:hAnsi="黑体" w:eastAsia="仿宋_GB2312"/>
          <w:sz w:val="32"/>
          <w:szCs w:val="32"/>
        </w:rPr>
        <w:t xml:space="preserve">  本市行政区域内无障碍设施的建设、改造、维护和管理活动，适用本办法。</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黑体" w:eastAsia="仿宋_GB2312"/>
          <w:sz w:val="32"/>
          <w:szCs w:val="32"/>
        </w:rPr>
      </w:pPr>
      <w:r>
        <w:rPr>
          <w:rFonts w:hint="eastAsia" w:ascii="黑体" w:hAnsi="黑体" w:eastAsia="黑体"/>
          <w:sz w:val="32"/>
          <w:szCs w:val="32"/>
        </w:rPr>
        <w:t>第三条（概念界定）</w:t>
      </w:r>
      <w:r>
        <w:rPr>
          <w:rFonts w:hint="eastAsia" w:ascii="仿宋_GB2312" w:hAnsi="黑体" w:eastAsia="仿宋_GB2312"/>
          <w:sz w:val="32"/>
          <w:szCs w:val="32"/>
        </w:rPr>
        <w:t xml:space="preserve">  本办法所称无障碍设施是指为保障残疾人、老年人和其他有无障碍需求的人，自主安全地通行道路、出入建筑物以及使用其附属设施、搭乘公共交通运输工具，获取、使用和交流信息，获得社会服务等提供便利的无障碍通行设施，无障碍服务设施和无障碍信息交流设施。</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黑体" w:eastAsia="仿宋_GB2312"/>
          <w:sz w:val="32"/>
          <w:szCs w:val="32"/>
        </w:rPr>
      </w:pPr>
      <w:r>
        <w:rPr>
          <w:rFonts w:hint="eastAsia" w:ascii="黑体" w:hAnsi="黑体" w:eastAsia="黑体"/>
          <w:sz w:val="32"/>
          <w:szCs w:val="32"/>
        </w:rPr>
        <w:t xml:space="preserve">第四条（基本原则） </w:t>
      </w:r>
      <w:r>
        <w:rPr>
          <w:rFonts w:hint="eastAsia" w:ascii="仿宋_GB2312" w:hAnsi="黑体" w:eastAsia="仿宋_GB2312"/>
          <w:sz w:val="32"/>
          <w:szCs w:val="32"/>
        </w:rPr>
        <w:t>无障碍设施的建设、改造、维护和管理应当坚持政府主导，激发市场创新，引导社会参与，推动全社会共建共治共享，遵循安全便利、实用易行、广泛受益的原则。</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黑体" w:eastAsia="仿宋_GB2312"/>
          <w:sz w:val="32"/>
          <w:szCs w:val="32"/>
        </w:rPr>
      </w:pPr>
      <w:r>
        <w:rPr>
          <w:rFonts w:hint="eastAsia" w:ascii="黑体" w:hAnsi="黑体" w:eastAsia="黑体"/>
          <w:sz w:val="32"/>
          <w:szCs w:val="32"/>
        </w:rPr>
        <w:t>第五条（规划纳入）</w:t>
      </w:r>
      <w:r>
        <w:rPr>
          <w:rFonts w:hint="eastAsia" w:ascii="仿宋_GB2312" w:hAnsi="黑体" w:eastAsia="仿宋_GB2312"/>
          <w:sz w:val="32"/>
          <w:szCs w:val="32"/>
        </w:rPr>
        <w:t xml:space="preserve">  市、县级市（区）人民政府应当将无障碍设施建设纳入本行政区域国民经济和社会发展规划，与国土空间规划相衔接，将所需经费纳入本级财政预算，建立稳定的经费保障机制。</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黑体" w:hAnsi="黑体" w:eastAsia="黑体" w:cs="方正仿宋_GB2312"/>
          <w:sz w:val="24"/>
          <w:szCs w:val="24"/>
        </w:rPr>
      </w:pPr>
      <w:bookmarkStart w:id="0" w:name="OLE_LINK13"/>
      <w:r>
        <w:rPr>
          <w:rFonts w:hint="eastAsia" w:ascii="黑体" w:hAnsi="黑体" w:eastAsia="黑体"/>
          <w:sz w:val="32"/>
          <w:szCs w:val="32"/>
        </w:rPr>
        <w:t>第六条</w:t>
      </w:r>
      <w:bookmarkEnd w:id="0"/>
      <w:r>
        <w:rPr>
          <w:rFonts w:hint="eastAsia" w:ascii="黑体" w:hAnsi="黑体" w:eastAsia="黑体"/>
          <w:sz w:val="32"/>
          <w:szCs w:val="32"/>
        </w:rPr>
        <w:t>（市级政府工作职责）</w:t>
      </w:r>
      <w:r>
        <w:rPr>
          <w:rFonts w:hint="eastAsia" w:ascii="仿宋_GB2312" w:hAnsi="黑体" w:eastAsia="仿宋_GB2312"/>
          <w:sz w:val="32"/>
          <w:szCs w:val="32"/>
        </w:rPr>
        <w:t xml:space="preserve">  市人民政府应当加强对本市无障碍设施建设、改造、维护和管理工作的统筹协调和督促指导，建立市无障碍设施建设协调机制，研究、决定相关重大事项。</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黑体" w:eastAsia="仿宋_GB2312"/>
          <w:sz w:val="32"/>
          <w:szCs w:val="32"/>
        </w:rPr>
      </w:pPr>
      <w:r>
        <w:rPr>
          <w:rFonts w:hint="eastAsia" w:ascii="仿宋_GB2312" w:hAnsi="黑体" w:eastAsia="仿宋_GB2312"/>
          <w:sz w:val="32"/>
          <w:szCs w:val="32"/>
        </w:rPr>
        <w:t>市住房和城乡建设部门负责房屋建筑与市政道路的无障碍设施建设的监督管理和指导。</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黑体" w:eastAsia="仿宋_GB2312"/>
          <w:sz w:val="32"/>
          <w:szCs w:val="32"/>
        </w:rPr>
      </w:pPr>
      <w:r>
        <w:rPr>
          <w:rFonts w:hint="eastAsia" w:ascii="仿宋_GB2312" w:hAnsi="黑体" w:eastAsia="仿宋_GB2312"/>
          <w:sz w:val="32"/>
          <w:szCs w:val="32"/>
        </w:rPr>
        <w:t>市城市管理部门负责市政道路无障碍设施维护和使用、公共厕所无障碍设施、路内机动车无障碍停车位的设置、维护和改造的监督管理和指导。</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黑体" w:eastAsia="仿宋_GB2312"/>
          <w:sz w:val="32"/>
          <w:szCs w:val="32"/>
        </w:rPr>
      </w:pPr>
      <w:r>
        <w:rPr>
          <w:rFonts w:hint="eastAsia" w:ascii="仿宋_GB2312" w:hAnsi="黑体" w:eastAsia="仿宋_GB2312"/>
          <w:sz w:val="32"/>
          <w:szCs w:val="32"/>
        </w:rPr>
        <w:t>市交通运输部门负责公路无障碍设施的监督管理和指导，负责监督指导公共交通、轨道交通车辆和站点的无障碍设施配置、维护和管理。</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黑体" w:eastAsia="仿宋_GB2312"/>
          <w:sz w:val="32"/>
          <w:szCs w:val="32"/>
        </w:rPr>
      </w:pPr>
      <w:r>
        <w:rPr>
          <w:rFonts w:hint="eastAsia" w:ascii="仿宋_GB2312" w:hAnsi="黑体" w:eastAsia="仿宋_GB2312"/>
          <w:sz w:val="32"/>
          <w:szCs w:val="32"/>
        </w:rPr>
        <w:t>市园林和绿化管理部门负责监督管理和指导园林、城市公园和绿地的无障碍设施建设、改造、维护和管理。</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黑体" w:eastAsia="仿宋_GB2312"/>
          <w:sz w:val="32"/>
          <w:szCs w:val="32"/>
        </w:rPr>
      </w:pPr>
      <w:r>
        <w:rPr>
          <w:rFonts w:hint="eastAsia" w:ascii="仿宋_GB2312" w:hAnsi="黑体" w:eastAsia="仿宋_GB2312"/>
          <w:sz w:val="32"/>
          <w:szCs w:val="32"/>
        </w:rPr>
        <w:t>市工业和信息化部门负责无障碍信息交流的监督管理和指导。</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黑体" w:eastAsia="仿宋_GB2312"/>
          <w:sz w:val="32"/>
          <w:szCs w:val="32"/>
        </w:rPr>
      </w:pPr>
      <w:r>
        <w:rPr>
          <w:rFonts w:hint="eastAsia" w:ascii="仿宋_GB2312" w:hAnsi="黑体" w:eastAsia="仿宋_GB2312"/>
          <w:sz w:val="32"/>
          <w:szCs w:val="32"/>
        </w:rPr>
        <w:t>市文化广电和旅游部门负责文化场所、旅游场所、广播电视、文化出版无障碍设施和无障碍信息交流的监督管理和指导。</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黑体" w:eastAsia="仿宋_GB2312"/>
          <w:sz w:val="32"/>
          <w:szCs w:val="32"/>
        </w:rPr>
      </w:pPr>
      <w:r>
        <w:rPr>
          <w:rFonts w:hint="eastAsia" w:ascii="仿宋_GB2312" w:hAnsi="黑体" w:eastAsia="仿宋_GB2312"/>
          <w:sz w:val="32"/>
          <w:szCs w:val="32"/>
        </w:rPr>
        <w:t>市商务部门负责商场、旅馆等场所无障碍设施的监督管理和指导。</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黑体" w:eastAsia="仿宋_GB2312"/>
          <w:sz w:val="32"/>
          <w:szCs w:val="32"/>
        </w:rPr>
      </w:pPr>
      <w:r>
        <w:rPr>
          <w:rFonts w:hint="eastAsia" w:ascii="仿宋_GB2312" w:hAnsi="黑体" w:eastAsia="仿宋_GB2312"/>
          <w:sz w:val="32"/>
          <w:szCs w:val="32"/>
        </w:rPr>
        <w:t>市卫生健康部门负责医疗卫生机构无障碍设施的监督管理和指导。</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黑体" w:eastAsia="仿宋_GB2312"/>
          <w:sz w:val="32"/>
          <w:szCs w:val="32"/>
        </w:rPr>
      </w:pPr>
      <w:r>
        <w:rPr>
          <w:rFonts w:hint="eastAsia" w:ascii="仿宋_GB2312" w:hAnsi="黑体" w:eastAsia="仿宋_GB2312"/>
          <w:sz w:val="32"/>
          <w:szCs w:val="32"/>
        </w:rPr>
        <w:t>市教育部门负责学校无障碍设施的监督管理和指导。</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黑体" w:eastAsia="仿宋_GB2312"/>
          <w:sz w:val="32"/>
          <w:szCs w:val="32"/>
        </w:rPr>
      </w:pPr>
      <w:r>
        <w:rPr>
          <w:rFonts w:hint="eastAsia" w:ascii="仿宋_GB2312" w:hAnsi="黑体" w:eastAsia="仿宋_GB2312"/>
          <w:sz w:val="32"/>
          <w:szCs w:val="32"/>
        </w:rPr>
        <w:t>市体育部门负责体育、健身场所无障碍设施建设的监督管理和指导。</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黑体" w:eastAsia="仿宋_GB2312"/>
          <w:sz w:val="32"/>
          <w:szCs w:val="32"/>
        </w:rPr>
      </w:pPr>
      <w:r>
        <w:rPr>
          <w:rFonts w:hint="eastAsia" w:ascii="仿宋_GB2312" w:hAnsi="黑体" w:eastAsia="仿宋_GB2312"/>
          <w:sz w:val="32"/>
          <w:szCs w:val="32"/>
        </w:rPr>
        <w:t>市发展和改革、财政、自然资源和规划、民政、金融管理、邮政管理、</w:t>
      </w:r>
      <w:r>
        <w:rPr>
          <w:rFonts w:hint="eastAsia" w:ascii="仿宋_GB2312" w:hAnsi="黑体" w:eastAsia="仿宋_GB2312"/>
          <w:sz w:val="32"/>
          <w:szCs w:val="32"/>
          <w:lang w:val="en-US" w:eastAsia="zh-CN"/>
        </w:rPr>
        <w:t>数据、</w:t>
      </w:r>
      <w:r>
        <w:rPr>
          <w:rFonts w:hint="eastAsia" w:ascii="仿宋_GB2312" w:hAnsi="黑体" w:eastAsia="仿宋_GB2312"/>
          <w:sz w:val="32"/>
          <w:szCs w:val="32"/>
        </w:rPr>
        <w:t>市场监督管理、农业农村、应急管理等部门按照各自职责，做好无障碍设施的监督管理和指导。</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黑体" w:eastAsia="仿宋_GB2312"/>
          <w:sz w:val="32"/>
          <w:szCs w:val="32"/>
        </w:rPr>
      </w:pPr>
      <w:r>
        <w:rPr>
          <w:rFonts w:hint="eastAsia" w:ascii="黑体" w:hAnsi="黑体" w:eastAsia="黑体"/>
          <w:sz w:val="32"/>
          <w:szCs w:val="32"/>
        </w:rPr>
        <w:t>第七条（属地职责）</w:t>
      </w:r>
      <w:r>
        <w:rPr>
          <w:rFonts w:hint="eastAsia" w:ascii="仿宋_GB2312" w:hAnsi="黑体" w:eastAsia="仿宋_GB2312"/>
          <w:sz w:val="32"/>
          <w:szCs w:val="32"/>
        </w:rPr>
        <w:t xml:space="preserve">  县级市（区）人民政府统筹管理辖区内无障碍设施建设、改造、维护和管理，职能部门按照各自职责，负责职责范围内无障碍设施建设、改造、维护和管理工作。</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黑体" w:eastAsia="仿宋_GB2312"/>
          <w:sz w:val="32"/>
          <w:szCs w:val="32"/>
        </w:rPr>
      </w:pPr>
      <w:r>
        <w:rPr>
          <w:rFonts w:hint="eastAsia" w:ascii="仿宋_GB2312" w:hAnsi="黑体" w:eastAsia="仿宋_GB2312"/>
          <w:sz w:val="32"/>
          <w:szCs w:val="32"/>
        </w:rPr>
        <w:t>乡镇人民政府、街道办事处负责本辖区内无障碍设施建设、改造、维护和管理工作。</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黑体" w:eastAsia="仿宋_GB2312"/>
          <w:sz w:val="32"/>
          <w:szCs w:val="32"/>
        </w:rPr>
      </w:pPr>
      <w:r>
        <w:rPr>
          <w:rFonts w:hint="eastAsia" w:ascii="黑体" w:hAnsi="黑体" w:eastAsia="黑体"/>
          <w:sz w:val="32"/>
          <w:szCs w:val="32"/>
        </w:rPr>
        <w:t>第八条（残联老龄协会工作）</w:t>
      </w:r>
      <w:r>
        <w:rPr>
          <w:rFonts w:hint="eastAsia" w:ascii="仿宋_GB2312" w:hAnsi="黑体" w:eastAsia="仿宋_GB2312"/>
          <w:sz w:val="32"/>
          <w:szCs w:val="32"/>
        </w:rPr>
        <w:t xml:space="preserve">  市、县级市（区）残疾人联合会、老龄协会等组织，协助市、县级市（区）人民政府及有关职能部门做好无障碍设施的监督管理和指导工作。</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黑体" w:eastAsia="仿宋_GB2312"/>
          <w:sz w:val="32"/>
          <w:szCs w:val="32"/>
        </w:rPr>
      </w:pPr>
      <w:r>
        <w:rPr>
          <w:rFonts w:hint="eastAsia" w:ascii="黑体" w:hAnsi="黑体" w:eastAsia="黑体"/>
          <w:sz w:val="32"/>
          <w:szCs w:val="32"/>
        </w:rPr>
        <w:t>第九条（无障碍指导）</w:t>
      </w:r>
      <w:r>
        <w:rPr>
          <w:rFonts w:hint="eastAsia" w:ascii="仿宋_GB2312" w:hAnsi="黑体" w:eastAsia="仿宋_GB2312"/>
          <w:sz w:val="32"/>
          <w:szCs w:val="32"/>
        </w:rPr>
        <w:t xml:space="preserve">  市住房和城乡建设部门推广通用设计理念，组织编制地方无障碍设施建设指南。市有关职能部门应根据需要，组织编制本行业无障碍设施建设指南，指导无障碍设施建设、改造、维护和管理。</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黑体" w:eastAsia="仿宋_GB2312"/>
          <w:sz w:val="32"/>
          <w:szCs w:val="32"/>
        </w:rPr>
      </w:pPr>
      <w:r>
        <w:rPr>
          <w:rFonts w:hint="eastAsia" w:ascii="黑体" w:hAnsi="黑体" w:eastAsia="黑体"/>
          <w:sz w:val="32"/>
          <w:szCs w:val="32"/>
        </w:rPr>
        <w:t>第十条（五同步要求）</w:t>
      </w:r>
      <w:r>
        <w:rPr>
          <w:rFonts w:hint="eastAsia" w:ascii="仿宋_GB2312" w:hAnsi="黑体" w:eastAsia="仿宋_GB2312"/>
          <w:sz w:val="32"/>
          <w:szCs w:val="32"/>
        </w:rPr>
        <w:t xml:space="preserve">  新建、改建、扩建的居住建筑、居住区、公共建筑、公共场所、交通运输设施、城乡道路等，应当符合无障碍设施工程建设标准。</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黑体" w:eastAsia="仿宋_GB2312"/>
          <w:sz w:val="32"/>
          <w:szCs w:val="32"/>
        </w:rPr>
      </w:pPr>
      <w:r>
        <w:rPr>
          <w:rFonts w:hint="eastAsia" w:ascii="仿宋_GB2312" w:hAnsi="黑体" w:eastAsia="仿宋_GB2312"/>
          <w:sz w:val="32"/>
          <w:szCs w:val="32"/>
        </w:rPr>
        <w:t>无障碍设施应当与建设项目主体工程同步规划、同步设计、同步施工、同步验收、同步交付使用。</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黑体" w:eastAsia="仿宋_GB2312"/>
          <w:sz w:val="32"/>
          <w:szCs w:val="32"/>
        </w:rPr>
      </w:pPr>
      <w:r>
        <w:rPr>
          <w:rFonts w:hint="eastAsia" w:ascii="黑体" w:hAnsi="黑体" w:eastAsia="黑体"/>
          <w:sz w:val="32"/>
          <w:szCs w:val="32"/>
        </w:rPr>
        <w:t>第十一条（规划职责）</w:t>
      </w:r>
      <w:r>
        <w:rPr>
          <w:rFonts w:hint="eastAsia" w:ascii="仿宋_GB2312" w:hAnsi="黑体" w:eastAsia="仿宋_GB2312"/>
          <w:sz w:val="32"/>
          <w:szCs w:val="32"/>
        </w:rPr>
        <w:t xml:space="preserve">  自然资源和规划部门在对工程建设项目审批的规划进行技术审查时，</w:t>
      </w:r>
      <w:bookmarkStart w:id="1" w:name="OLE_LINK1"/>
      <w:r>
        <w:rPr>
          <w:rFonts w:hint="eastAsia" w:ascii="仿宋_GB2312" w:hAnsi="黑体" w:eastAsia="仿宋_GB2312"/>
          <w:sz w:val="32"/>
          <w:szCs w:val="32"/>
        </w:rPr>
        <w:t>应当做好与无障碍设施规划建设要求的衔接。</w:t>
      </w:r>
      <w:bookmarkEnd w:id="1"/>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黑体" w:eastAsia="仿宋_GB2312"/>
          <w:sz w:val="32"/>
          <w:szCs w:val="32"/>
        </w:rPr>
      </w:pPr>
      <w:r>
        <w:rPr>
          <w:rFonts w:hint="eastAsia" w:ascii="黑体" w:hAnsi="黑体" w:eastAsia="黑体"/>
          <w:sz w:val="32"/>
          <w:szCs w:val="32"/>
        </w:rPr>
        <w:t>第十二条（设计职责）</w:t>
      </w:r>
      <w:r>
        <w:rPr>
          <w:rFonts w:hint="eastAsia" w:ascii="仿宋_GB2312" w:hAnsi="黑体" w:eastAsia="仿宋_GB2312"/>
          <w:sz w:val="32"/>
          <w:szCs w:val="32"/>
        </w:rPr>
        <w:t xml:space="preserve">  建设项目设计单位应当按照无障碍设施工程建设标准，同步进行无障碍设计。向施工单位进行施工图技术交底时，应当对无障碍设施作出说明。</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黑体" w:eastAsia="仿宋_GB2312"/>
          <w:sz w:val="32"/>
          <w:szCs w:val="32"/>
        </w:rPr>
      </w:pPr>
      <w:r>
        <w:rPr>
          <w:rFonts w:hint="eastAsia" w:ascii="黑体" w:hAnsi="黑体" w:eastAsia="黑体"/>
          <w:sz w:val="32"/>
          <w:szCs w:val="32"/>
        </w:rPr>
        <w:t>第十三条（审图职责）</w:t>
      </w:r>
      <w:r>
        <w:rPr>
          <w:rFonts w:hint="eastAsia" w:ascii="仿宋_GB2312" w:hAnsi="黑体" w:eastAsia="仿宋_GB2312"/>
          <w:sz w:val="32"/>
          <w:szCs w:val="32"/>
        </w:rPr>
        <w:t xml:space="preserve">  依法需要进行施工图设计文件审查的，施工图审查机构应当按照法律、法规和无障碍设施工程建设标准，对无障碍设计内容进行审查；不符合有关规定的，不予审查通过。</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黑体" w:eastAsia="仿宋_GB2312"/>
          <w:sz w:val="32"/>
          <w:szCs w:val="32"/>
        </w:rPr>
      </w:pPr>
      <w:r>
        <w:rPr>
          <w:rFonts w:hint="eastAsia" w:ascii="仿宋_GB2312" w:hAnsi="黑体" w:eastAsia="仿宋_GB2312"/>
          <w:sz w:val="32"/>
          <w:szCs w:val="32"/>
        </w:rPr>
        <w:t>无障碍设计未经施工图设计审查，或者经审查不符合规定要求的建设项目，不予办理施工许可证。</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黑体" w:eastAsia="仿宋_GB2312"/>
          <w:sz w:val="32"/>
          <w:szCs w:val="32"/>
        </w:rPr>
      </w:pPr>
      <w:r>
        <w:rPr>
          <w:rFonts w:hint="eastAsia" w:ascii="黑体" w:hAnsi="黑体" w:eastAsia="黑体"/>
          <w:sz w:val="32"/>
          <w:szCs w:val="32"/>
        </w:rPr>
        <w:t>第十四条（施工职责）</w:t>
      </w:r>
      <w:r>
        <w:rPr>
          <w:rFonts w:hint="eastAsia" w:ascii="仿宋_GB2312" w:hAnsi="黑体" w:eastAsia="仿宋_GB2312"/>
          <w:sz w:val="32"/>
          <w:szCs w:val="32"/>
        </w:rPr>
        <w:t xml:space="preserve">  施工单位应当按照审查合格的施工图设计文件以及相关标准进行无障碍设施施工，未经有关部门依法批准，不得擅自变更和调整设计。</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黑体" w:eastAsia="仿宋_GB2312"/>
          <w:sz w:val="32"/>
          <w:szCs w:val="32"/>
        </w:rPr>
      </w:pPr>
      <w:r>
        <w:rPr>
          <w:rFonts w:hint="eastAsia" w:ascii="黑体" w:hAnsi="黑体" w:eastAsia="黑体"/>
          <w:sz w:val="32"/>
          <w:szCs w:val="32"/>
        </w:rPr>
        <w:t xml:space="preserve">第十五条（监理职责）  </w:t>
      </w:r>
      <w:r>
        <w:rPr>
          <w:rFonts w:hint="eastAsia" w:ascii="仿宋_GB2312" w:hAnsi="黑体" w:eastAsia="仿宋_GB2312"/>
          <w:sz w:val="32"/>
          <w:szCs w:val="32"/>
        </w:rPr>
        <w:t>监理单位应当按照审查合格的施工图设计文件以及相关标准进行无障碍设施监理，对施工单位不符合规定的行为应当要求整改或者暂停施工，并及时报告建设单位；施工单位拒不整改或者暂停施工的，监理单位应当及时报告工程质量监督机构。</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黑体" w:eastAsia="仿宋_GB2312"/>
          <w:sz w:val="32"/>
          <w:szCs w:val="32"/>
        </w:rPr>
      </w:pPr>
      <w:r>
        <w:rPr>
          <w:rFonts w:hint="eastAsia" w:ascii="黑体" w:hAnsi="黑体" w:eastAsia="黑体"/>
          <w:sz w:val="32"/>
          <w:szCs w:val="32"/>
        </w:rPr>
        <w:t>第十六条（质量监管职责）</w:t>
      </w:r>
      <w:r>
        <w:rPr>
          <w:rFonts w:hint="eastAsia" w:ascii="仿宋_GB2312" w:hAnsi="黑体" w:eastAsia="仿宋_GB2312"/>
          <w:sz w:val="32"/>
          <w:szCs w:val="32"/>
        </w:rPr>
        <w:t xml:space="preserve">  建设工程质量监督机构应当按照法律、法规和无障碍设施工程建设标准对无障碍设施建设质量行为实施监督，督促相关责任主体履行主体责任。</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黑体" w:eastAsia="仿宋_GB2312"/>
          <w:sz w:val="32"/>
          <w:szCs w:val="32"/>
        </w:rPr>
      </w:pPr>
      <w:r>
        <w:rPr>
          <w:rFonts w:hint="eastAsia" w:ascii="黑体" w:hAnsi="黑体" w:eastAsia="黑体"/>
          <w:sz w:val="32"/>
          <w:szCs w:val="32"/>
        </w:rPr>
        <w:t xml:space="preserve">第十七条（竣工验收要求）  </w:t>
      </w:r>
      <w:r>
        <w:rPr>
          <w:rFonts w:hint="eastAsia" w:ascii="仿宋_GB2312" w:hAnsi="黑体" w:eastAsia="仿宋_GB2312"/>
          <w:sz w:val="32"/>
          <w:szCs w:val="32"/>
        </w:rPr>
        <w:t>建设单位在组织竣工验收时，应当同步验收配套建设的无障碍设施。未按照法律、法规和无障碍设施工程建设标准配套建设无障碍设施的，不得通过竣工验收。</w:t>
      </w:r>
      <w:r>
        <w:rPr>
          <w:rFonts w:hint="eastAsia" w:ascii="仿宋_GB2312" w:hAnsi="黑体" w:eastAsia="仿宋_GB2312"/>
          <w:kern w:val="2"/>
          <w:sz w:val="32"/>
          <w:szCs w:val="32"/>
          <w:highlight w:val="none"/>
          <w:lang w:bidi="ar-SA"/>
        </w:rPr>
        <w:t>未经验收或者验收不合格的，不得交付使用</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黑体" w:eastAsia="仿宋_GB2312"/>
          <w:sz w:val="32"/>
          <w:szCs w:val="32"/>
        </w:rPr>
      </w:pPr>
      <w:r>
        <w:rPr>
          <w:rFonts w:hint="eastAsia" w:ascii="黑体" w:hAnsi="黑体" w:eastAsia="黑体"/>
          <w:sz w:val="32"/>
          <w:szCs w:val="32"/>
        </w:rPr>
        <w:t xml:space="preserve">第十八条（竣工验收备案）  </w:t>
      </w:r>
      <w:r>
        <w:rPr>
          <w:rFonts w:hint="eastAsia" w:ascii="仿宋_GB2312" w:hAnsi="黑体" w:eastAsia="仿宋_GB2312"/>
          <w:sz w:val="32"/>
          <w:szCs w:val="32"/>
        </w:rPr>
        <w:t>工程竣工验收备案机构对未按照法律、法规和无障碍设施工程建设标准开展无障碍设施验收或者验收不合格的，不予办理竣工验收备案手续。</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ascii="仿宋_GB2312" w:hAnsi="黑体" w:eastAsia="仿宋_GB2312"/>
          <w:sz w:val="32"/>
          <w:szCs w:val="32"/>
        </w:rPr>
      </w:pPr>
      <w:r>
        <w:rPr>
          <w:rFonts w:hint="eastAsia" w:ascii="黑体" w:hAnsi="黑体" w:eastAsia="黑体" w:cs="黑体"/>
          <w:sz w:val="32"/>
          <w:szCs w:val="32"/>
        </w:rPr>
        <w:t>第十九条（交付使用要求）</w:t>
      </w:r>
      <w:r>
        <w:rPr>
          <w:rFonts w:hint="eastAsia" w:ascii="仿宋_GB2312" w:hAnsi="黑体" w:eastAsia="仿宋_GB2312"/>
          <w:sz w:val="32"/>
          <w:szCs w:val="32"/>
        </w:rPr>
        <w:t xml:space="preserve">  建设项目移交时，</w:t>
      </w:r>
      <w:r>
        <w:rPr>
          <w:rFonts w:ascii="仿宋_GB2312" w:hAnsi="黑体" w:eastAsia="仿宋_GB2312"/>
          <w:sz w:val="32"/>
          <w:szCs w:val="32"/>
        </w:rPr>
        <w:t>无障碍设施所有权人或者管理人</w:t>
      </w:r>
      <w:r>
        <w:rPr>
          <w:rFonts w:hint="eastAsia" w:ascii="仿宋_GB2312" w:hAnsi="黑体" w:eastAsia="仿宋_GB2312"/>
          <w:sz w:val="32"/>
          <w:szCs w:val="32"/>
        </w:rPr>
        <w:t>会同</w:t>
      </w:r>
      <w:r>
        <w:rPr>
          <w:rFonts w:ascii="仿宋_GB2312" w:hAnsi="黑体" w:eastAsia="仿宋_GB2312"/>
          <w:sz w:val="32"/>
          <w:szCs w:val="32"/>
        </w:rPr>
        <w:t>建设单位依据</w:t>
      </w:r>
      <w:r>
        <w:rPr>
          <w:rFonts w:hint="eastAsia" w:ascii="仿宋_GB2312" w:hAnsi="黑体" w:eastAsia="仿宋_GB2312"/>
          <w:sz w:val="32"/>
          <w:szCs w:val="32"/>
        </w:rPr>
        <w:t>无障碍设施建设</w:t>
      </w:r>
      <w:r>
        <w:rPr>
          <w:rFonts w:ascii="仿宋_GB2312" w:hAnsi="黑体" w:eastAsia="仿宋_GB2312"/>
          <w:sz w:val="32"/>
          <w:szCs w:val="32"/>
        </w:rPr>
        <w:t>标准对</w:t>
      </w:r>
      <w:r>
        <w:rPr>
          <w:rFonts w:hint="eastAsia" w:ascii="仿宋_GB2312" w:hAnsi="黑体" w:eastAsia="仿宋_GB2312"/>
          <w:sz w:val="32"/>
          <w:szCs w:val="32"/>
        </w:rPr>
        <w:t>无障碍设施进行现场核查。</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ascii="仿宋_GB2312" w:hAnsi="黑体" w:eastAsia="仿宋_GB2312"/>
          <w:sz w:val="32"/>
          <w:szCs w:val="32"/>
        </w:rPr>
      </w:pPr>
      <w:r>
        <w:rPr>
          <w:rFonts w:ascii="仿宋_GB2312" w:hAnsi="黑体" w:eastAsia="仿宋_GB2312"/>
          <w:sz w:val="32"/>
          <w:szCs w:val="32"/>
        </w:rPr>
        <w:t>建设项目移交前，管理养护维修责任由建设单位承担；移交后，由接收单位承担。</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ascii="仿宋_GB2312" w:hAnsi="黑体" w:eastAsia="仿宋_GB2312"/>
          <w:sz w:val="32"/>
          <w:szCs w:val="32"/>
        </w:rPr>
      </w:pPr>
      <w:r>
        <w:rPr>
          <w:rFonts w:ascii="仿宋_GB2312" w:hAnsi="黑体" w:eastAsia="仿宋_GB2312"/>
          <w:sz w:val="32"/>
          <w:szCs w:val="32"/>
        </w:rPr>
        <w:t>建设</w:t>
      </w:r>
      <w:r>
        <w:rPr>
          <w:rFonts w:hint="eastAsia" w:ascii="仿宋_GB2312" w:hAnsi="黑体" w:eastAsia="仿宋_GB2312"/>
          <w:sz w:val="32"/>
          <w:szCs w:val="32"/>
        </w:rPr>
        <w:t>项目移交后</w:t>
      </w:r>
      <w:r>
        <w:rPr>
          <w:rFonts w:hint="eastAsia" w:ascii="仿宋_GB2312" w:hAnsi="黑体" w:eastAsia="仿宋_GB2312"/>
          <w:sz w:val="32"/>
          <w:szCs w:val="32"/>
          <w:lang w:eastAsia="zh-CN"/>
        </w:rPr>
        <w:t>，</w:t>
      </w:r>
      <w:r>
        <w:rPr>
          <w:rFonts w:ascii="仿宋_GB2312" w:hAnsi="黑体" w:eastAsia="仿宋_GB2312"/>
          <w:sz w:val="32"/>
          <w:szCs w:val="32"/>
        </w:rPr>
        <w:t>在保修范围和保修期限内发生质量问题的，</w:t>
      </w:r>
      <w:r>
        <w:rPr>
          <w:rFonts w:hint="eastAsia" w:ascii="仿宋_GB2312" w:hAnsi="黑体" w:eastAsia="仿宋_GB2312"/>
          <w:sz w:val="32"/>
          <w:szCs w:val="32"/>
        </w:rPr>
        <w:t>由</w:t>
      </w:r>
      <w:r>
        <w:rPr>
          <w:rFonts w:ascii="仿宋_GB2312" w:hAnsi="黑体" w:eastAsia="仿宋_GB2312"/>
          <w:sz w:val="32"/>
          <w:szCs w:val="32"/>
        </w:rPr>
        <w:t>施工单位履行保修义务，并对造成的损失承担赔偿责任。</w:t>
      </w:r>
      <w:r>
        <w:rPr>
          <w:rFonts w:hint="eastAsia" w:ascii="仿宋_GB2312" w:hAnsi="黑体" w:eastAsia="仿宋_GB2312"/>
          <w:sz w:val="32"/>
          <w:szCs w:val="32"/>
        </w:rPr>
        <w:t xml:space="preserve"> </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黑体" w:eastAsia="仿宋_GB2312"/>
          <w:sz w:val="32"/>
          <w:szCs w:val="32"/>
        </w:rPr>
      </w:pPr>
      <w:r>
        <w:rPr>
          <w:rFonts w:hint="eastAsia" w:ascii="黑体" w:hAnsi="黑体" w:eastAsia="黑体"/>
          <w:sz w:val="32"/>
          <w:szCs w:val="32"/>
        </w:rPr>
        <w:t>第二十条（城市更新）</w:t>
      </w:r>
      <w:r>
        <w:rPr>
          <w:rFonts w:hint="eastAsia" w:ascii="仿宋_GB2312" w:hAnsi="黑体" w:eastAsia="仿宋_GB2312"/>
          <w:sz w:val="32"/>
          <w:szCs w:val="32"/>
        </w:rPr>
        <w:t xml:space="preserve">  市、县级市（区）人民政府有关主管部门应当组织对既有居住建筑、居住区、公共建筑、公共场所、交通运输设施、城乡道路等开展无障碍设施体检。</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黑体" w:eastAsia="仿宋_GB2312"/>
          <w:sz w:val="32"/>
          <w:szCs w:val="32"/>
        </w:rPr>
      </w:pPr>
      <w:r>
        <w:rPr>
          <w:rFonts w:hint="eastAsia" w:ascii="仿宋_GB2312" w:hAnsi="黑体" w:eastAsia="仿宋_GB2312"/>
          <w:sz w:val="32"/>
          <w:szCs w:val="32"/>
        </w:rPr>
        <w:t>实施城市更新、老旧小区改造、古城（镇、村）保护利用提升等项目，应当优先采取措施完善既有无障碍设施体系。</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黑体" w:eastAsia="仿宋_GB2312"/>
          <w:sz w:val="32"/>
          <w:szCs w:val="32"/>
        </w:rPr>
      </w:pPr>
      <w:r>
        <w:rPr>
          <w:rFonts w:hint="eastAsia" w:ascii="黑体" w:hAnsi="黑体" w:eastAsia="黑体"/>
          <w:sz w:val="32"/>
          <w:szCs w:val="32"/>
        </w:rPr>
        <w:t xml:space="preserve">第二十一条（改造计划与责任）  </w:t>
      </w:r>
      <w:r>
        <w:rPr>
          <w:rFonts w:hint="eastAsia" w:ascii="仿宋_GB2312" w:hAnsi="黑体" w:eastAsia="仿宋_GB2312"/>
          <w:sz w:val="32"/>
          <w:szCs w:val="32"/>
        </w:rPr>
        <w:t>对既有的不符合无障碍设施工程建设标准的居住建筑、居住区、公共建筑、公共场所、交通运输设施、城乡道路等，市、县级市（区）人民政府有关部门应当在各自职责范围内</w:t>
      </w:r>
      <w:r>
        <w:rPr>
          <w:rFonts w:hint="eastAsia" w:ascii="仿宋_GB2312" w:hAnsi="黑体" w:eastAsia="仿宋_GB2312"/>
          <w:sz w:val="32"/>
          <w:szCs w:val="32"/>
          <w:lang w:bidi="ar"/>
        </w:rPr>
        <w:t>，</w:t>
      </w:r>
      <w:r>
        <w:rPr>
          <w:rFonts w:ascii="仿宋_GB2312" w:hAnsi="黑体" w:eastAsia="仿宋_GB2312"/>
          <w:sz w:val="32"/>
          <w:szCs w:val="32"/>
          <w:lang w:bidi="ar"/>
        </w:rPr>
        <w:t>根据实际情况，制定无障碍设施改造计划并组织实施</w:t>
      </w:r>
      <w:r>
        <w:rPr>
          <w:rFonts w:hint="eastAsia" w:ascii="仿宋_GB2312" w:hAnsi="黑体" w:eastAsia="仿宋_GB2312"/>
          <w:sz w:val="32"/>
          <w:szCs w:val="32"/>
        </w:rPr>
        <w:t>。</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黑体" w:eastAsia="仿宋_GB2312"/>
          <w:sz w:val="32"/>
          <w:szCs w:val="32"/>
        </w:rPr>
      </w:pPr>
      <w:r>
        <w:rPr>
          <w:rFonts w:hint="eastAsia" w:ascii="仿宋_GB2312" w:hAnsi="黑体" w:eastAsia="仿宋_GB2312"/>
          <w:sz w:val="32"/>
          <w:szCs w:val="32"/>
        </w:rPr>
        <w:t>无障碍设施改造</w:t>
      </w:r>
      <w:r>
        <w:rPr>
          <w:rFonts w:hint="eastAsia" w:ascii="仿宋_GB2312" w:hAnsi="黑体" w:eastAsia="仿宋_GB2312"/>
          <w:sz w:val="32"/>
          <w:szCs w:val="32"/>
          <w:lang w:eastAsia="zh-CN"/>
        </w:rPr>
        <w:t>，</w:t>
      </w:r>
      <w:r>
        <w:rPr>
          <w:rFonts w:hint="eastAsia" w:ascii="仿宋_GB2312" w:hAnsi="黑体" w:eastAsia="仿宋_GB2312"/>
          <w:sz w:val="32"/>
          <w:szCs w:val="32"/>
          <w:lang w:val="en-US" w:eastAsia="zh-CN"/>
        </w:rPr>
        <w:t>由</w:t>
      </w:r>
      <w:r>
        <w:rPr>
          <w:rFonts w:hint="eastAsia" w:ascii="仿宋_GB2312" w:hAnsi="黑体" w:eastAsia="仿宋_GB2312"/>
          <w:sz w:val="32"/>
          <w:szCs w:val="32"/>
        </w:rPr>
        <w:t>所有权人或管理人</w:t>
      </w:r>
      <w:r>
        <w:rPr>
          <w:rFonts w:hint="eastAsia" w:ascii="仿宋_GB2312" w:hAnsi="黑体" w:eastAsia="仿宋_GB2312"/>
          <w:sz w:val="32"/>
          <w:szCs w:val="32"/>
          <w:lang w:val="en-US" w:eastAsia="zh-CN"/>
        </w:rPr>
        <w:t>负责</w:t>
      </w:r>
      <w:r>
        <w:rPr>
          <w:rFonts w:hint="eastAsia" w:ascii="仿宋_GB2312" w:hAnsi="黑体" w:eastAsia="仿宋_GB2312"/>
          <w:sz w:val="32"/>
          <w:szCs w:val="32"/>
        </w:rPr>
        <w:t>实施。所有权人、管理人和使用人之间约定改造责任的，由约定的责任人负责。</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ascii="仿宋_GB2312" w:hAnsi="黑体" w:eastAsia="仿宋_GB2312"/>
          <w:sz w:val="32"/>
          <w:szCs w:val="32"/>
        </w:rPr>
      </w:pPr>
      <w:r>
        <w:rPr>
          <w:rFonts w:hint="eastAsia" w:ascii="黑体" w:hAnsi="黑体" w:eastAsia="黑体"/>
          <w:sz w:val="32"/>
          <w:szCs w:val="32"/>
        </w:rPr>
        <w:t xml:space="preserve">第二十二条（项目资金）  </w:t>
      </w:r>
      <w:r>
        <w:rPr>
          <w:rFonts w:hint="eastAsia" w:ascii="仿宋_GB2312" w:hAnsi="黑体" w:eastAsia="仿宋_GB2312"/>
          <w:sz w:val="32"/>
          <w:szCs w:val="32"/>
        </w:rPr>
        <w:t>无障碍设施改造资金由所有权人或者约定的责任人承担。</w:t>
      </w:r>
      <w:bookmarkStart w:id="2" w:name="OLE_LINK7"/>
    </w:p>
    <w:bookmarkEnd w:id="2"/>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黑体" w:eastAsia="仿宋_GB2312"/>
          <w:sz w:val="32"/>
          <w:szCs w:val="32"/>
        </w:rPr>
      </w:pPr>
      <w:r>
        <w:rPr>
          <w:rFonts w:hint="eastAsia" w:ascii="黑体" w:hAnsi="黑体" w:eastAsia="黑体"/>
          <w:sz w:val="32"/>
          <w:szCs w:val="32"/>
        </w:rPr>
        <w:t xml:space="preserve">第二十三条（豁免论证）  </w:t>
      </w:r>
      <w:r>
        <w:rPr>
          <w:rFonts w:hint="eastAsia" w:ascii="仿宋_GB2312" w:hAnsi="黑体" w:eastAsia="仿宋_GB2312"/>
          <w:sz w:val="32"/>
          <w:szCs w:val="32"/>
        </w:rPr>
        <w:t>对不具备无障碍设施改造条件的</w:t>
      </w:r>
      <w:r>
        <w:rPr>
          <w:rFonts w:ascii="仿宋_GB2312" w:hAnsi="黑体" w:eastAsia="仿宋_GB2312"/>
          <w:sz w:val="32"/>
          <w:szCs w:val="32"/>
        </w:rPr>
        <w:t>既有居住建筑、居住区、公共建筑、公共场所、交通运输设施、城乡道路等</w:t>
      </w:r>
      <w:r>
        <w:rPr>
          <w:rFonts w:hint="eastAsia" w:ascii="仿宋_GB2312" w:hAnsi="黑体" w:eastAsia="仿宋_GB2312"/>
          <w:sz w:val="32"/>
          <w:szCs w:val="32"/>
        </w:rPr>
        <w:t>，项目所有权人或管理人</w:t>
      </w:r>
      <w:r>
        <w:rPr>
          <w:rFonts w:ascii="仿宋_GB2312" w:hAnsi="黑体" w:eastAsia="仿宋_GB2312"/>
          <w:sz w:val="32"/>
          <w:szCs w:val="32"/>
        </w:rPr>
        <w:t>应当组织无障碍环境建设专家进行专项调研核查，采取必要的替代性措施并实施管理，核查结果</w:t>
      </w:r>
      <w:r>
        <w:rPr>
          <w:rFonts w:hint="eastAsia" w:ascii="仿宋_GB2312" w:hAnsi="黑体" w:eastAsia="仿宋_GB2312"/>
          <w:sz w:val="32"/>
          <w:szCs w:val="32"/>
        </w:rPr>
        <w:t>和替代性措施方案应当报建设主管部门同意。</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黑体" w:eastAsia="仿宋_GB2312"/>
          <w:sz w:val="32"/>
          <w:szCs w:val="32"/>
        </w:rPr>
      </w:pPr>
      <w:r>
        <w:rPr>
          <w:rFonts w:hint="eastAsia" w:ascii="黑体" w:hAnsi="黑体" w:eastAsia="黑体"/>
          <w:sz w:val="32"/>
          <w:szCs w:val="32"/>
        </w:rPr>
        <w:t xml:space="preserve">第二十四条（维护和管理）  </w:t>
      </w:r>
      <w:r>
        <w:rPr>
          <w:rFonts w:hint="eastAsia" w:ascii="仿宋_GB2312" w:hAnsi="黑体" w:eastAsia="仿宋_GB2312"/>
          <w:sz w:val="32"/>
          <w:szCs w:val="32"/>
        </w:rPr>
        <w:t>无障碍设施所有权人或者管理人应当对无障碍设施履行以下维护和管理责任，保障无障碍设施功能正常和使用安全：</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黑体" w:eastAsia="仿宋_GB2312"/>
          <w:sz w:val="32"/>
          <w:szCs w:val="32"/>
        </w:rPr>
      </w:pPr>
      <w:r>
        <w:rPr>
          <w:rFonts w:hint="eastAsia" w:ascii="仿宋_GB2312" w:hAnsi="黑体" w:eastAsia="仿宋_GB2312"/>
          <w:sz w:val="32"/>
          <w:szCs w:val="32"/>
        </w:rPr>
        <w:t>（一）对损坏的无障碍设施和标识进行维修或者替换；</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黑体" w:eastAsia="仿宋_GB2312"/>
          <w:sz w:val="32"/>
          <w:szCs w:val="32"/>
        </w:rPr>
      </w:pPr>
      <w:r>
        <w:rPr>
          <w:rFonts w:hint="eastAsia" w:ascii="仿宋_GB2312" w:hAnsi="黑体" w:eastAsia="仿宋_GB2312"/>
          <w:sz w:val="32"/>
          <w:szCs w:val="32"/>
        </w:rPr>
        <w:t>（二）对需改造的无障碍设施进行改造；</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黑体" w:eastAsia="仿宋_GB2312"/>
          <w:sz w:val="32"/>
          <w:szCs w:val="32"/>
        </w:rPr>
      </w:pPr>
      <w:r>
        <w:rPr>
          <w:rFonts w:hint="eastAsia" w:ascii="仿宋_GB2312" w:hAnsi="黑体" w:eastAsia="仿宋_GB2312"/>
          <w:sz w:val="32"/>
          <w:szCs w:val="32"/>
        </w:rPr>
        <w:t>（三）纠正占用无障碍设施的行为；</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黑体" w:eastAsia="仿宋_GB2312"/>
          <w:sz w:val="32"/>
          <w:szCs w:val="32"/>
        </w:rPr>
      </w:pPr>
      <w:r>
        <w:rPr>
          <w:rFonts w:hint="eastAsia" w:ascii="仿宋_GB2312" w:hAnsi="黑体" w:eastAsia="仿宋_GB2312"/>
          <w:sz w:val="32"/>
          <w:szCs w:val="32"/>
        </w:rPr>
        <w:t>（四）进行其他必要的维护和保养。</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黑体" w:eastAsia="仿宋_GB2312"/>
          <w:sz w:val="32"/>
          <w:szCs w:val="32"/>
        </w:rPr>
      </w:pPr>
      <w:r>
        <w:rPr>
          <w:rFonts w:hint="eastAsia" w:ascii="仿宋_GB2312" w:hAnsi="黑体" w:eastAsia="仿宋_GB2312"/>
          <w:sz w:val="32"/>
          <w:szCs w:val="32"/>
        </w:rPr>
        <w:t>所有权人、管理人和使用人之间有约定的，由约定的责任人负责维护和管理。</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黑体" w:eastAsia="仿宋_GB2312"/>
          <w:sz w:val="32"/>
          <w:szCs w:val="32"/>
        </w:rPr>
      </w:pPr>
      <w:r>
        <w:rPr>
          <w:rFonts w:hint="eastAsia" w:ascii="黑体" w:hAnsi="黑体" w:eastAsia="黑体"/>
          <w:sz w:val="32"/>
          <w:szCs w:val="32"/>
        </w:rPr>
        <w:t xml:space="preserve">第二十五条（设施保护）  </w:t>
      </w:r>
      <w:r>
        <w:rPr>
          <w:rFonts w:hint="eastAsia" w:ascii="仿宋_GB2312" w:hAnsi="黑体" w:eastAsia="仿宋_GB2312"/>
          <w:sz w:val="32"/>
          <w:szCs w:val="32"/>
        </w:rPr>
        <w:t>任何单位和个人不得擅自改变无障碍设施的用途或者非法占用、损坏无障碍设施。</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黑体" w:eastAsia="仿宋_GB2312"/>
          <w:sz w:val="32"/>
          <w:szCs w:val="32"/>
        </w:rPr>
      </w:pPr>
      <w:r>
        <w:rPr>
          <w:rFonts w:hint="eastAsia" w:ascii="仿宋_GB2312" w:hAnsi="黑体" w:eastAsia="仿宋_GB2312"/>
          <w:sz w:val="32"/>
          <w:szCs w:val="32"/>
        </w:rPr>
        <w:t>因特殊情况设置的临时无障碍设施，应当符合无障碍设施工程建设标准的相关技术要求。</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黑体" w:eastAsia="仿宋_GB2312"/>
          <w:sz w:val="32"/>
          <w:szCs w:val="32"/>
        </w:rPr>
      </w:pPr>
      <w:r>
        <w:rPr>
          <w:rFonts w:hint="eastAsia" w:ascii="仿宋_GB2312" w:hAnsi="黑体" w:eastAsia="仿宋_GB2312"/>
          <w:sz w:val="32"/>
          <w:szCs w:val="32"/>
        </w:rPr>
        <w:t>因城市建设或者重大社会公益活动，需要临时占用无障碍设施的，应当征得有关单位同意，公告并设置护栏、警示标志或者信号设施，同时采取必要的替代性措施。临时占用期满，应当及时恢复原状。</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黑体" w:eastAsia="仿宋_GB2312"/>
          <w:sz w:val="32"/>
          <w:szCs w:val="32"/>
        </w:rPr>
      </w:pPr>
      <w:r>
        <w:rPr>
          <w:rFonts w:hint="eastAsia" w:ascii="黑体" w:hAnsi="黑体" w:eastAsia="黑体"/>
          <w:sz w:val="32"/>
          <w:szCs w:val="32"/>
        </w:rPr>
        <w:t>第二十六条（</w:t>
      </w:r>
      <w:r>
        <w:rPr>
          <w:rFonts w:hint="eastAsia" w:ascii="黑体" w:hAnsi="黑体" w:eastAsia="黑体"/>
          <w:sz w:val="32"/>
          <w:szCs w:val="32"/>
          <w:lang w:val="en-US" w:eastAsia="zh-CN"/>
        </w:rPr>
        <w:t>人行通道</w:t>
      </w:r>
      <w:r>
        <w:rPr>
          <w:rFonts w:hint="eastAsia" w:ascii="黑体" w:hAnsi="黑体" w:eastAsia="黑体"/>
          <w:sz w:val="32"/>
          <w:szCs w:val="32"/>
        </w:rPr>
        <w:t>要求）</w:t>
      </w:r>
      <w:r>
        <w:rPr>
          <w:rFonts w:hint="eastAsia" w:ascii="仿宋_GB2312" w:hAnsi="黑体" w:eastAsia="仿宋_GB2312"/>
          <w:sz w:val="32"/>
          <w:szCs w:val="32"/>
        </w:rPr>
        <w:t xml:space="preserve">  对城市主干路、主要商业区和大型居住区的人行天桥、人行地下通道和轨道交通出入口的建设和改造，应当按照无障碍设施工程建设标准，建设或者改造无障碍设施，可以优先设置和加装无障碍电梯。</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黑体" w:eastAsia="仿宋_GB2312"/>
          <w:sz w:val="32"/>
          <w:szCs w:val="32"/>
        </w:rPr>
      </w:pPr>
      <w:r>
        <w:rPr>
          <w:rFonts w:hint="eastAsia" w:ascii="仿宋_GB2312" w:hAnsi="黑体" w:eastAsia="仿宋_GB2312"/>
          <w:sz w:val="32"/>
          <w:szCs w:val="32"/>
        </w:rPr>
        <w:t>城市主干路、主要商业区、步行街等无障碍需求比较集中的区域和视觉障碍者集中区域周边道路的人行道，应当按照标准设置盲道，并与周边的人行天桥、人行地下通道和公共建筑、公共交通设施的无障碍设施相衔接。</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黑体" w:eastAsia="仿宋_GB2312"/>
          <w:sz w:val="32"/>
          <w:szCs w:val="32"/>
        </w:rPr>
      </w:pPr>
      <w:r>
        <w:rPr>
          <w:rFonts w:hint="eastAsia" w:ascii="仿宋_GB2312" w:hAnsi="黑体" w:eastAsia="仿宋_GB2312"/>
          <w:sz w:val="32"/>
          <w:szCs w:val="32"/>
        </w:rPr>
        <w:t>城镇中心区、残疾人集中就业服务场所和集中就读学校周边人行横道的交通信号设施，应当按照标准安装过街音响提示装置。</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黑体" w:eastAsia="仿宋_GB2312"/>
          <w:sz w:val="32"/>
          <w:szCs w:val="32"/>
        </w:rPr>
      </w:pPr>
      <w:r>
        <w:rPr>
          <w:rFonts w:hint="eastAsia" w:ascii="黑体" w:hAnsi="黑体" w:eastAsia="黑体"/>
          <w:sz w:val="32"/>
          <w:szCs w:val="32"/>
        </w:rPr>
        <w:t xml:space="preserve">第二十七条（公共交通配置要求）  </w:t>
      </w:r>
      <w:r>
        <w:rPr>
          <w:rFonts w:hint="eastAsia" w:ascii="仿宋_GB2312" w:hAnsi="黑体" w:eastAsia="仿宋_GB2312"/>
          <w:sz w:val="32"/>
          <w:szCs w:val="32"/>
        </w:rPr>
        <w:t>新投入运营的城市轨道交通车辆和具备条件的公共汽电车等公共交通运输工具应当按照标准配置无障碍设施。推动交通枢纽、公共交通车站、客运码头在地面至站厅、换乘车站之间实现无障碍设施衔接。城市轨道交通车辆、公共汽电车应当配备语音和字幕报站系统，并保持正常使用。</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黑体" w:eastAsia="仿宋_GB2312"/>
          <w:sz w:val="32"/>
          <w:szCs w:val="32"/>
        </w:rPr>
      </w:pPr>
      <w:r>
        <w:rPr>
          <w:rFonts w:hint="eastAsia" w:ascii="仿宋_GB2312" w:hAnsi="黑体" w:eastAsia="仿宋_GB2312"/>
          <w:sz w:val="32"/>
          <w:szCs w:val="32"/>
        </w:rPr>
        <w:t>既有城市轨道交通车辆和车站、公共汽电车和站台具备改造条件的，应当进行无障碍设施改造，逐步符合无障碍标准的要求；不具备改造条件的，公共交通运输工具的运营单位应当采取必要的替代性措施。</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黑体" w:eastAsia="仿宋_GB2312"/>
          <w:sz w:val="32"/>
          <w:szCs w:val="32"/>
        </w:rPr>
      </w:pPr>
      <w:r>
        <w:rPr>
          <w:rFonts w:hint="eastAsia" w:ascii="黑体" w:hAnsi="黑体" w:eastAsia="黑体"/>
          <w:sz w:val="32"/>
          <w:szCs w:val="32"/>
        </w:rPr>
        <w:t xml:space="preserve">第二十八条（无障碍特色）  </w:t>
      </w:r>
      <w:r>
        <w:rPr>
          <w:rFonts w:hint="eastAsia" w:ascii="仿宋_GB2312" w:hAnsi="黑体" w:eastAsia="仿宋_GB2312"/>
          <w:sz w:val="32"/>
          <w:szCs w:val="32"/>
        </w:rPr>
        <w:t>新建广场、公园、绿地、景区应当按照无障碍设施工程建设标准建设无障碍出入口和无障碍通行流线。鼓励建设具有地方特色、满足视觉障碍者体验的植物园、文化广场和特色公园等。</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黑体" w:eastAsia="仿宋_GB2312"/>
          <w:sz w:val="32"/>
          <w:szCs w:val="32"/>
        </w:rPr>
      </w:pPr>
      <w:r>
        <w:rPr>
          <w:rFonts w:hint="eastAsia" w:ascii="黑体" w:hAnsi="黑体" w:eastAsia="黑体"/>
          <w:sz w:val="32"/>
          <w:szCs w:val="32"/>
        </w:rPr>
        <w:t>第二十九条（无障碍停车位）</w:t>
      </w:r>
      <w:r>
        <w:rPr>
          <w:rFonts w:hint="eastAsia" w:ascii="仿宋_GB2312" w:hAnsi="黑体" w:eastAsia="仿宋_GB2312"/>
          <w:sz w:val="32"/>
          <w:szCs w:val="32"/>
        </w:rPr>
        <w:t xml:space="preserve">  停车场应当按照无障碍设施工程建设标准，设置并标明无障碍停车位。</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ascii="仿宋_GB2312" w:hAnsi="黑体" w:eastAsia="仿宋_GB2312"/>
          <w:sz w:val="32"/>
          <w:szCs w:val="32"/>
        </w:rPr>
      </w:pPr>
      <w:r>
        <w:rPr>
          <w:rFonts w:hint="eastAsia" w:ascii="仿宋_GB2312" w:hAnsi="黑体" w:eastAsia="仿宋_GB2312"/>
          <w:sz w:val="32"/>
          <w:szCs w:val="32"/>
        </w:rPr>
        <w:t>无障碍停车位的维护和管理责任，由停车场管理者负责：</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ascii="仿宋_GB2312" w:hAnsi="黑体" w:eastAsia="仿宋_GB2312"/>
          <w:sz w:val="32"/>
          <w:szCs w:val="32"/>
        </w:rPr>
      </w:pPr>
      <w:r>
        <w:rPr>
          <w:rFonts w:hint="eastAsia" w:ascii="仿宋_GB2312" w:hAnsi="黑体" w:eastAsia="仿宋_GB2312"/>
          <w:sz w:val="32"/>
          <w:szCs w:val="32"/>
        </w:rPr>
        <w:t>（一）建筑物配建停车场，由建筑所有权人或者管理人负责；其中，居住区的配建停车场，由物业服务单位或者经依法授权业主委员会委托的管理人负责；</w:t>
      </w:r>
      <w:r>
        <w:rPr>
          <w:rFonts w:ascii="仿宋_GB2312" w:hAnsi="黑体" w:eastAsia="仿宋_GB2312"/>
          <w:sz w:val="32"/>
          <w:szCs w:val="32"/>
        </w:rPr>
        <w:t>未实行物业管理的，由</w:t>
      </w:r>
      <w:r>
        <w:rPr>
          <w:rFonts w:hint="eastAsia" w:ascii="仿宋_GB2312" w:hAnsi="黑体" w:eastAsia="仿宋_GB2312"/>
          <w:sz w:val="32"/>
          <w:szCs w:val="32"/>
        </w:rPr>
        <w:t>乡</w:t>
      </w:r>
      <w:r>
        <w:rPr>
          <w:rFonts w:ascii="仿宋_GB2312" w:hAnsi="黑体" w:eastAsia="仿宋_GB2312"/>
          <w:sz w:val="32"/>
          <w:szCs w:val="32"/>
        </w:rPr>
        <w:t>镇人民政府、街道办事处协调确定管理人；</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ascii="仿宋_GB2312" w:hAnsi="黑体" w:eastAsia="仿宋_GB2312"/>
          <w:sz w:val="32"/>
          <w:szCs w:val="32"/>
        </w:rPr>
      </w:pPr>
      <w:r>
        <w:rPr>
          <w:rFonts w:hint="eastAsia" w:ascii="仿宋_GB2312" w:hAnsi="黑体" w:eastAsia="仿宋_GB2312"/>
          <w:sz w:val="32"/>
          <w:szCs w:val="32"/>
        </w:rPr>
        <w:t>（二）城市公共停车场，由投资建设运营单位负责；</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ascii="仿宋_GB2312" w:hAnsi="黑体" w:eastAsia="仿宋_GB2312"/>
          <w:sz w:val="32"/>
          <w:szCs w:val="32"/>
        </w:rPr>
      </w:pPr>
      <w:r>
        <w:rPr>
          <w:rFonts w:hint="eastAsia" w:ascii="仿宋_GB2312" w:hAnsi="黑体" w:eastAsia="仿宋_GB2312"/>
          <w:sz w:val="32"/>
          <w:szCs w:val="32"/>
        </w:rPr>
        <w:t>（三）路内停车泊位，由停车管理运营单位负责。</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ascii="仿宋_GB2312" w:hAnsi="黑体" w:eastAsia="仿宋_GB2312"/>
          <w:sz w:val="32"/>
          <w:szCs w:val="32"/>
        </w:rPr>
      </w:pPr>
      <w:r>
        <w:rPr>
          <w:rFonts w:hint="eastAsia" w:ascii="仿宋_GB2312" w:hAnsi="黑体" w:eastAsia="仿宋_GB2312"/>
          <w:sz w:val="32"/>
          <w:szCs w:val="32"/>
        </w:rPr>
        <w:t>无障碍停车位优先供肢体残疾人驾驶或者乘坐的机动车使用。使用无障碍停车位的机动车，应当在车辆显著位置放置残疾人车辆专用标志或者提供肢体残疾人凭证。</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ascii="仿宋_GB2312" w:hAnsi="黑体" w:eastAsia="仿宋_GB2312"/>
          <w:sz w:val="32"/>
          <w:szCs w:val="32"/>
        </w:rPr>
      </w:pPr>
      <w:r>
        <w:rPr>
          <w:rFonts w:hint="eastAsia" w:ascii="仿宋_GB2312" w:hAnsi="黑体" w:eastAsia="仿宋_GB2312"/>
          <w:sz w:val="32"/>
          <w:szCs w:val="32"/>
        </w:rPr>
        <w:t>停车场管理者对于违规占用无障碍停车位的，应当予以劝阻；对拒不驶离或者强行停车，扰乱停车场公共秩序的，应当及时报告公安机关。</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黑体" w:eastAsia="仿宋_GB2312"/>
          <w:sz w:val="32"/>
          <w:szCs w:val="32"/>
        </w:rPr>
      </w:pPr>
      <w:r>
        <w:rPr>
          <w:rFonts w:hint="eastAsia" w:ascii="仿宋_GB2312" w:hAnsi="黑体" w:eastAsia="仿宋_GB2312"/>
          <w:sz w:val="32"/>
          <w:szCs w:val="32"/>
        </w:rPr>
        <w:t>对无障碍停车费用给予优惠的，按照本市有关规定执行。</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黑体" w:eastAsia="仿宋_GB2312"/>
          <w:sz w:val="32"/>
          <w:szCs w:val="32"/>
        </w:rPr>
      </w:pPr>
      <w:r>
        <w:rPr>
          <w:rFonts w:hint="eastAsia" w:ascii="黑体" w:hAnsi="黑体" w:eastAsia="黑体"/>
          <w:sz w:val="32"/>
          <w:szCs w:val="32"/>
        </w:rPr>
        <w:t xml:space="preserve">第三十条（残疾人服务场所配置要求）  </w:t>
      </w:r>
      <w:r>
        <w:rPr>
          <w:rFonts w:hint="eastAsia" w:ascii="仿宋_GB2312" w:hAnsi="黑体" w:eastAsia="仿宋_GB2312"/>
          <w:sz w:val="32"/>
          <w:szCs w:val="32"/>
        </w:rPr>
        <w:t>残疾人集中就业单位和残疾人服务机构应当根据残疾人的需求，按照有关标准和要求，建设和改造无障碍设施。</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黑体" w:eastAsia="仿宋_GB2312"/>
          <w:sz w:val="32"/>
          <w:szCs w:val="32"/>
        </w:rPr>
      </w:pPr>
      <w:r>
        <w:rPr>
          <w:rFonts w:hint="eastAsia" w:ascii="黑体" w:hAnsi="黑体" w:eastAsia="黑体"/>
          <w:sz w:val="32"/>
          <w:szCs w:val="32"/>
        </w:rPr>
        <w:t xml:space="preserve">第三十一条（住房配置要求）  </w:t>
      </w:r>
      <w:r>
        <w:rPr>
          <w:rFonts w:hint="eastAsia" w:ascii="仿宋_GB2312" w:hAnsi="黑体" w:eastAsia="仿宋_GB2312"/>
          <w:sz w:val="32"/>
          <w:szCs w:val="32"/>
        </w:rPr>
        <w:t>新建、改建、扩建的保障性住房项目鼓励配置一定数量的无障碍住房，并优先向符合条件的残疾人、老年人家庭配租、配售。</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黑体" w:eastAsia="仿宋_GB2312"/>
          <w:sz w:val="32"/>
          <w:szCs w:val="32"/>
        </w:rPr>
      </w:pPr>
      <w:r>
        <w:rPr>
          <w:rFonts w:hint="eastAsia" w:ascii="仿宋_GB2312" w:hAnsi="黑体" w:eastAsia="仿宋_GB2312"/>
          <w:sz w:val="32"/>
          <w:szCs w:val="32"/>
        </w:rPr>
        <w:t>宾馆、酒店等建设项目应按照相关技术标准配置无障碍客房。</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黑体" w:eastAsia="仿宋_GB2312"/>
          <w:sz w:val="32"/>
          <w:szCs w:val="32"/>
        </w:rPr>
      </w:pPr>
      <w:r>
        <w:rPr>
          <w:rFonts w:hint="eastAsia" w:ascii="黑体" w:hAnsi="黑体" w:eastAsia="黑体"/>
          <w:sz w:val="32"/>
          <w:szCs w:val="32"/>
        </w:rPr>
        <w:t xml:space="preserve">第三十二条（住房改造要求）  </w:t>
      </w:r>
      <w:r>
        <w:rPr>
          <w:rFonts w:ascii="仿宋_GB2312" w:eastAsia="仿宋_GB2312"/>
          <w:sz w:val="32"/>
          <w:szCs w:val="32"/>
        </w:rPr>
        <w:t>对符合条件的申请无障碍设施改造的残疾人家庭和适老化改造的老年人家庭，残疾人联合会、民政部门</w:t>
      </w:r>
      <w:r>
        <w:rPr>
          <w:rFonts w:hint="eastAsia" w:ascii="仿宋_GB2312" w:eastAsia="仿宋_GB2312"/>
          <w:sz w:val="32"/>
          <w:szCs w:val="32"/>
        </w:rPr>
        <w:t>分别</w:t>
      </w:r>
      <w:r>
        <w:rPr>
          <w:rFonts w:ascii="仿宋_GB2312" w:eastAsia="仿宋_GB2312"/>
          <w:sz w:val="32"/>
          <w:szCs w:val="32"/>
        </w:rPr>
        <w:t>按照规定项目和标准给予免费改造或适当补贴。</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黑体" w:eastAsia="仿宋_GB2312"/>
          <w:sz w:val="32"/>
          <w:szCs w:val="32"/>
        </w:rPr>
      </w:pPr>
      <w:r>
        <w:rPr>
          <w:rFonts w:hint="eastAsia" w:ascii="仿宋_GB2312" w:hAnsi="黑体" w:eastAsia="仿宋_GB2312"/>
          <w:sz w:val="32"/>
          <w:szCs w:val="32"/>
        </w:rPr>
        <w:t>居民委员会、村民委员会、居住区管理服务单位以及业主委员会应当支持并配合家庭无障碍设施改造。</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黑体" w:eastAsia="仿宋_GB2312"/>
          <w:sz w:val="32"/>
          <w:szCs w:val="32"/>
        </w:rPr>
      </w:pPr>
      <w:r>
        <w:rPr>
          <w:rFonts w:hint="eastAsia" w:ascii="黑体" w:hAnsi="黑体" w:eastAsia="黑体"/>
          <w:sz w:val="32"/>
          <w:szCs w:val="32"/>
        </w:rPr>
        <w:t xml:space="preserve">第三十三条（信息交流）  </w:t>
      </w:r>
      <w:r>
        <w:rPr>
          <w:rFonts w:hint="eastAsia" w:ascii="仿宋_GB2312" w:hAnsi="黑体" w:eastAsia="仿宋_GB2312"/>
          <w:sz w:val="32"/>
          <w:szCs w:val="32"/>
        </w:rPr>
        <w:t>银行、医院、城市轨道交通车站、民用运输机场航站区、客运站、客运码头、大型景区及图书馆、博物馆、文化馆、科技馆等公共服务场所及设施应当进行无障碍信息交流建设。</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黑体" w:eastAsia="仿宋_GB2312"/>
          <w:sz w:val="32"/>
          <w:szCs w:val="32"/>
        </w:rPr>
      </w:pPr>
      <w:r>
        <w:rPr>
          <w:rFonts w:hint="eastAsia" w:ascii="仿宋_GB2312" w:hAnsi="黑体" w:eastAsia="仿宋_GB2312"/>
          <w:sz w:val="32"/>
          <w:szCs w:val="32"/>
        </w:rPr>
        <w:t>国家机关的互联网门户网站、公共服务平台和法律、法规授权的具有管理公共事务职能的组织的互联网网站、服务平台，应当符合无障碍网站设计标准。</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黑体" w:eastAsia="仿宋_GB2312"/>
          <w:sz w:val="32"/>
          <w:szCs w:val="32"/>
        </w:rPr>
      </w:pPr>
      <w:r>
        <w:rPr>
          <w:rFonts w:hint="eastAsia" w:ascii="仿宋_GB2312" w:hAnsi="黑体" w:eastAsia="仿宋_GB2312"/>
          <w:sz w:val="32"/>
          <w:szCs w:val="32"/>
        </w:rPr>
        <w:t>鼓励新闻资讯、社交通讯、生活购物、医疗健康、金融服务、学习教育、交通出行等领域的互联网网站、移动互联网应用程序以及智能设备操作系统符合国家信息无障碍标准，提供无障碍信息和服务。</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黑体" w:eastAsia="仿宋_GB2312"/>
          <w:sz w:val="32"/>
          <w:szCs w:val="32"/>
        </w:rPr>
      </w:pPr>
      <w:r>
        <w:rPr>
          <w:rFonts w:hint="eastAsia" w:ascii="黑体" w:hAnsi="黑体" w:eastAsia="黑体"/>
          <w:sz w:val="32"/>
          <w:szCs w:val="32"/>
        </w:rPr>
        <w:t>第三十四条（紧急政务热线）</w:t>
      </w:r>
      <w:r>
        <w:rPr>
          <w:rFonts w:hint="eastAsia" w:ascii="仿宋_GB2312" w:hAnsi="黑体" w:eastAsia="仿宋_GB2312"/>
          <w:sz w:val="32"/>
          <w:szCs w:val="32"/>
        </w:rPr>
        <w:t xml:space="preserve">  110、119、120等紧急呼叫系统以及12345政务热线应当具备文字信息报警、呼叫等功能，方便残疾人、老年人等社会成员报警、呼救、咨询、投诉等。</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黑体" w:eastAsia="仿宋_GB2312"/>
          <w:sz w:val="32"/>
          <w:szCs w:val="32"/>
        </w:rPr>
      </w:pPr>
      <w:r>
        <w:rPr>
          <w:rFonts w:hint="eastAsia" w:ascii="黑体" w:hAnsi="黑体" w:eastAsia="黑体"/>
          <w:sz w:val="32"/>
          <w:szCs w:val="32"/>
        </w:rPr>
        <w:t>第三十五条（意见征询）</w:t>
      </w:r>
      <w:r>
        <w:rPr>
          <w:rFonts w:hint="eastAsia" w:ascii="仿宋_GB2312" w:hAnsi="黑体" w:eastAsia="仿宋_GB2312"/>
          <w:sz w:val="32"/>
          <w:szCs w:val="32"/>
        </w:rPr>
        <w:t xml:space="preserve">  鼓励工程建设单位在新建、改建、扩建建设项目的规划、设计和竣工验收等环节，邀请残疾人、老年人代表以及残疾人联合会、老龄协会等组织，参加意见征询和体验试用等活动。</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黑体" w:eastAsia="仿宋_GB2312"/>
          <w:sz w:val="32"/>
          <w:szCs w:val="32"/>
        </w:rPr>
      </w:pPr>
      <w:r>
        <w:rPr>
          <w:rFonts w:hint="eastAsia" w:ascii="黑体" w:hAnsi="黑体" w:eastAsia="黑体"/>
          <w:sz w:val="32"/>
          <w:szCs w:val="32"/>
        </w:rPr>
        <w:t>第三十六条（体验督导）</w:t>
      </w:r>
      <w:r>
        <w:rPr>
          <w:rFonts w:hint="eastAsia" w:ascii="仿宋_GB2312" w:hAnsi="黑体" w:eastAsia="仿宋_GB2312"/>
          <w:sz w:val="32"/>
          <w:szCs w:val="32"/>
        </w:rPr>
        <w:t xml:space="preserve">  残疾人联合会、老龄协会等组织根据需要可以聘请人大代表、政协委员、媒体代表、无障碍建设专家、残疾人、老年人代表担任体验督导员，对无障碍设施进行体验监督，提出意见和建议。</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黑体" w:eastAsia="仿宋_GB2312"/>
          <w:sz w:val="32"/>
          <w:szCs w:val="32"/>
        </w:rPr>
      </w:pPr>
      <w:r>
        <w:rPr>
          <w:rFonts w:hint="eastAsia" w:ascii="黑体" w:hAnsi="黑体" w:eastAsia="黑体"/>
          <w:sz w:val="32"/>
          <w:szCs w:val="32"/>
        </w:rPr>
        <w:t>第三十七条（认证评优）</w:t>
      </w:r>
      <w:r>
        <w:rPr>
          <w:rFonts w:hint="eastAsia" w:ascii="仿宋_GB2312" w:hAnsi="黑体" w:eastAsia="仿宋_GB2312"/>
          <w:sz w:val="32"/>
          <w:szCs w:val="32"/>
        </w:rPr>
        <w:t xml:space="preserve">  鼓励无障碍设施所有权人和管理人自愿参与无障碍设计、设施、产品、服务的认证评价，认证评价结果在相关评优评选时予以参考。</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黑体" w:eastAsia="仿宋_GB2312"/>
          <w:sz w:val="32"/>
          <w:szCs w:val="32"/>
        </w:rPr>
      </w:pPr>
      <w:r>
        <w:rPr>
          <w:rFonts w:hint="eastAsia" w:ascii="黑体" w:hAnsi="黑体" w:eastAsia="黑体"/>
          <w:sz w:val="32"/>
          <w:szCs w:val="32"/>
        </w:rPr>
        <w:t>第三十八条（公益诉讼）</w:t>
      </w:r>
      <w:r>
        <w:rPr>
          <w:rFonts w:ascii="黑体" w:hAnsi="黑体" w:eastAsia="黑体"/>
          <w:sz w:val="32"/>
          <w:szCs w:val="32"/>
        </w:rPr>
        <w:t xml:space="preserve"> </w:t>
      </w:r>
      <w:r>
        <w:rPr>
          <w:rFonts w:ascii="仿宋_GB2312" w:hAnsi="黑体" w:eastAsia="仿宋_GB2312"/>
          <w:sz w:val="32"/>
          <w:szCs w:val="32"/>
        </w:rPr>
        <w:t> 市、县级市（区）检察机关，对违反无障碍建设相关规定损害社会公共利益的行为，可以提出检察建议或者提起公益诉讼。</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黑体" w:eastAsia="仿宋_GB2312"/>
          <w:sz w:val="32"/>
          <w:szCs w:val="32"/>
        </w:rPr>
      </w:pPr>
      <w:r>
        <w:rPr>
          <w:rFonts w:hint="eastAsia" w:ascii="黑体" w:hAnsi="黑体" w:eastAsia="黑体"/>
          <w:sz w:val="32"/>
          <w:szCs w:val="32"/>
        </w:rPr>
        <w:t>第三十九条（融合发展）</w:t>
      </w:r>
      <w:r>
        <w:rPr>
          <w:rFonts w:hint="eastAsia" w:ascii="仿宋_GB2312" w:hAnsi="黑体" w:eastAsia="仿宋_GB2312"/>
          <w:sz w:val="32"/>
          <w:szCs w:val="32"/>
        </w:rPr>
        <w:t xml:space="preserve">  市、县级市（区）人民政府通过经费支持、政府采购、税收优惠等政策措施，促进人工智能、大数据、脑机接口、智能辅具等新科技成果的转化应用，鼓励无障碍技术研发与成果推广，推进无障碍设施、信息、服务一体化融合发展。</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黑体" w:eastAsia="仿宋_GB2312"/>
          <w:sz w:val="32"/>
          <w:szCs w:val="32"/>
        </w:rPr>
      </w:pPr>
      <w:r>
        <w:rPr>
          <w:rFonts w:hint="eastAsia" w:ascii="黑体" w:hAnsi="黑体" w:eastAsia="黑体"/>
          <w:sz w:val="32"/>
          <w:szCs w:val="32"/>
        </w:rPr>
        <w:t xml:space="preserve">第四十条（公众监督举报）  </w:t>
      </w:r>
      <w:r>
        <w:rPr>
          <w:rFonts w:hint="eastAsia" w:ascii="仿宋_GB2312" w:hAnsi="黑体" w:eastAsia="仿宋_GB2312"/>
          <w:sz w:val="32"/>
          <w:szCs w:val="32"/>
        </w:rPr>
        <w:t>任何组织和个人有权向政府有关主管部门提出加强和改进无障碍设施的意见和建议，对违反本法规定的行为进行投诉、举报。政府有关主管部门接到涉及无障碍设施的投诉和举报，应当及时处理并予以答复。</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黑体" w:eastAsia="仿宋_GB2312"/>
          <w:sz w:val="32"/>
          <w:szCs w:val="32"/>
        </w:rPr>
      </w:pPr>
      <w:r>
        <w:rPr>
          <w:rFonts w:hint="eastAsia" w:ascii="仿宋_GB2312" w:hAnsi="黑体" w:eastAsia="仿宋_GB2312"/>
          <w:sz w:val="32"/>
          <w:szCs w:val="32"/>
        </w:rPr>
        <w:t>残疾人联合会、老龄协会以及其他社会组织可以对无障碍设施的建设、改造、维护和管理实施监督，并向有关部门提出意见和建议。</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黑体" w:eastAsia="仿宋_GB2312"/>
          <w:sz w:val="32"/>
          <w:szCs w:val="32"/>
        </w:rPr>
      </w:pPr>
      <w:r>
        <w:rPr>
          <w:rFonts w:hint="eastAsia" w:ascii="黑体" w:hAnsi="黑体" w:eastAsia="黑体"/>
          <w:sz w:val="32"/>
          <w:szCs w:val="32"/>
        </w:rPr>
        <w:t>第四十一条（未配建设施的法律责任）</w:t>
      </w:r>
      <w:r>
        <w:rPr>
          <w:rFonts w:hint="eastAsia" w:ascii="仿宋_GB2312" w:hAnsi="黑体" w:eastAsia="仿宋_GB2312"/>
          <w:sz w:val="32"/>
          <w:szCs w:val="32"/>
        </w:rPr>
        <w:t xml:space="preserve">  违反本办法规定，建设项目</w:t>
      </w:r>
      <w:r>
        <w:rPr>
          <w:rFonts w:ascii="仿宋_GB2312" w:hAnsi="黑体" w:eastAsia="仿宋_GB2312"/>
          <w:sz w:val="32"/>
          <w:szCs w:val="32"/>
        </w:rPr>
        <w:t>建设、设计、施工、监理单位</w:t>
      </w:r>
      <w:r>
        <w:rPr>
          <w:rFonts w:hint="eastAsia" w:ascii="仿宋_GB2312" w:hAnsi="黑体" w:eastAsia="仿宋_GB2312"/>
          <w:sz w:val="32"/>
          <w:szCs w:val="32"/>
        </w:rPr>
        <w:t>未按照有关规范和标准配套建设无障碍设施的，由住房和城乡建设、交通运输等主管部门责令限期改正；逾期未改正的，依照相关法律法规的规定进行处罚。</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黑体" w:eastAsia="仿宋_GB2312"/>
          <w:sz w:val="32"/>
          <w:szCs w:val="32"/>
        </w:rPr>
      </w:pPr>
      <w:r>
        <w:rPr>
          <w:rFonts w:hint="eastAsia" w:ascii="黑体" w:hAnsi="黑体" w:eastAsia="黑体"/>
          <w:sz w:val="32"/>
          <w:szCs w:val="32"/>
        </w:rPr>
        <w:t>第四十二条（未按计划改造的法律责任）</w:t>
      </w:r>
      <w:r>
        <w:rPr>
          <w:rFonts w:hint="eastAsia" w:ascii="仿宋_GB2312" w:hAnsi="黑体" w:eastAsia="仿宋_GB2312"/>
          <w:sz w:val="32"/>
          <w:szCs w:val="32"/>
        </w:rPr>
        <w:t xml:space="preserve">  违反本办法规定，既有项目的所有权人或者约定的责任人未按照改造计划实施改造的，由住房和城乡建设、城市管理、交通运输等主管部门责令限期改正；逾期未改正的，对单位处一万元以上三万元以下罚款，对个人处一百元以上五百元以下罚款。</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黑体" w:eastAsia="仿宋_GB2312"/>
          <w:sz w:val="32"/>
          <w:szCs w:val="32"/>
        </w:rPr>
      </w:pPr>
      <w:r>
        <w:rPr>
          <w:rFonts w:hint="eastAsia" w:ascii="黑体" w:hAnsi="黑体" w:eastAsia="黑体"/>
          <w:sz w:val="32"/>
          <w:szCs w:val="32"/>
        </w:rPr>
        <w:t>第四十三条（法律责任）</w:t>
      </w:r>
      <w:r>
        <w:rPr>
          <w:rFonts w:hint="eastAsia" w:ascii="仿宋_GB2312" w:hAnsi="黑体" w:eastAsia="仿宋_GB2312"/>
          <w:sz w:val="32"/>
          <w:szCs w:val="32"/>
        </w:rPr>
        <w:t xml:space="preserve">  违反本办法其他规定的行为，法律、行政法规已有处罚规定的，从其规定。</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黑体" w:eastAsia="仿宋_GB2312"/>
          <w:sz w:val="32"/>
          <w:szCs w:val="32"/>
        </w:rPr>
      </w:pPr>
      <w:r>
        <w:rPr>
          <w:rFonts w:hint="eastAsia" w:ascii="黑体" w:hAnsi="黑体" w:eastAsia="黑体"/>
          <w:sz w:val="32"/>
          <w:szCs w:val="32"/>
        </w:rPr>
        <w:t>第四十四条（实施时间）</w:t>
      </w:r>
      <w:r>
        <w:rPr>
          <w:rFonts w:hint="eastAsia" w:ascii="仿宋_GB2312" w:hAnsi="黑体" w:eastAsia="仿宋_GB2312"/>
          <w:sz w:val="32"/>
          <w:szCs w:val="32"/>
        </w:rPr>
        <w:t xml:space="preserve">  本办法自 年 月 日起施行。</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黑体" w:eastAsia="仿宋_GB2312"/>
          <w:sz w:val="32"/>
          <w:szCs w:val="32"/>
        </w:rPr>
      </w:pPr>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073ABB34-14F7-4B84-A875-80DE7B1248EC}"/>
  </w:font>
  <w:font w:name="Arial">
    <w:panose1 w:val="020B0604020202020204"/>
    <w:charset w:val="01"/>
    <w:family w:val="swiss"/>
    <w:pitch w:val="default"/>
    <w:sig w:usb0="E0002EFF" w:usb1="C000785B" w:usb2="00000009" w:usb3="00000000" w:csb0="400001FF" w:csb1="FFFF0000"/>
    <w:embedRegular r:id="rId2" w:fontKey="{0266AE2C-F3D8-4849-9A83-738B58679B6C}"/>
  </w:font>
  <w:font w:name="黑体">
    <w:panose1 w:val="02010609060101010101"/>
    <w:charset w:val="86"/>
    <w:family w:val="auto"/>
    <w:pitch w:val="default"/>
    <w:sig w:usb0="800002BF" w:usb1="38CF7CFA" w:usb2="00000016" w:usb3="00000000" w:csb0="00040001" w:csb1="00000000"/>
    <w:embedRegular r:id="rId3" w:fontKey="{4EE3BDE8-3AD2-4352-BF84-5156339FCB62}"/>
  </w:font>
  <w:font w:name="Courier New">
    <w:panose1 w:val="02070309020205020404"/>
    <w:charset w:val="01"/>
    <w:family w:val="modern"/>
    <w:pitch w:val="default"/>
    <w:sig w:usb0="E0002EFF" w:usb1="C0007843" w:usb2="00000009" w:usb3="00000000" w:csb0="400001FF" w:csb1="FFFF0000"/>
    <w:embedRegular r:id="rId4" w:fontKey="{55A03681-F54F-4A06-87D5-E419E9E0350C}"/>
  </w:font>
  <w:font w:name="Symbol">
    <w:panose1 w:val="05050102010706020507"/>
    <w:charset w:val="02"/>
    <w:family w:val="roman"/>
    <w:pitch w:val="default"/>
    <w:sig w:usb0="00000000" w:usb1="00000000" w:usb2="00000000" w:usb3="00000000" w:csb0="80000000" w:csb1="00000000"/>
    <w:embedRegular r:id="rId5" w:fontKey="{FBC39895-6CB1-4F82-B9E1-DDF08D476791}"/>
  </w:font>
  <w:font w:name="Calibri">
    <w:panose1 w:val="020F0502020204030204"/>
    <w:charset w:val="00"/>
    <w:family w:val="swiss"/>
    <w:pitch w:val="default"/>
    <w:sig w:usb0="E4002EFF" w:usb1="C000247B" w:usb2="00000009" w:usb3="00000000" w:csb0="200001FF" w:csb1="00000000"/>
    <w:embedRegular r:id="rId6" w:fontKey="{BBD2FFEE-1BE2-4C31-8190-DD7FE502E5F5}"/>
  </w:font>
  <w:font w:name="等线">
    <w:panose1 w:val="02010600030101010101"/>
    <w:charset w:val="86"/>
    <w:family w:val="auto"/>
    <w:pitch w:val="default"/>
    <w:sig w:usb0="A00002BF" w:usb1="38CF7CFA" w:usb2="00000016" w:usb3="00000000" w:csb0="0004000F" w:csb1="00000000"/>
    <w:embedRegular r:id="rId7" w:fontKey="{85F97683-050D-41E4-965D-F0D8E4CB10EA}"/>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方正小标宋_GBK">
    <w:panose1 w:val="02000000000000000000"/>
    <w:charset w:val="86"/>
    <w:family w:val="script"/>
    <w:pitch w:val="default"/>
    <w:sig w:usb0="A00002BF" w:usb1="38CF7CFA" w:usb2="00082016" w:usb3="00000000" w:csb0="00040001" w:csb1="00000000"/>
    <w:embedRegular r:id="rId8" w:fontKey="{5AB08ACE-7EE1-4C46-A203-E1E0CFDDD297}"/>
  </w:font>
  <w:font w:name="仿宋_GB2312">
    <w:panose1 w:val="02010609030101010101"/>
    <w:charset w:val="86"/>
    <w:family w:val="modern"/>
    <w:pitch w:val="default"/>
    <w:sig w:usb0="00000001" w:usb1="080E0000" w:usb2="00000000" w:usb3="00000000" w:csb0="00040000" w:csb1="00000000"/>
    <w:embedRegular r:id="rId9" w:fontKey="{47AD9838-AA4B-43D5-AAAE-3587D285D9AE}"/>
  </w:font>
  <w:font w:name="方正仿宋_GB2312">
    <w:altName w:val="微软雅黑"/>
    <w:panose1 w:val="00000000000000000000"/>
    <w:charset w:val="86"/>
    <w:family w:val="auto"/>
    <w:pitch w:val="default"/>
    <w:sig w:usb0="00000000" w:usb1="00000000" w:usb2="00000012" w:usb3="00000000" w:csb0="00040001" w:csb1="00000000"/>
    <w:embedRegular r:id="rId10" w:fontKey="{3329A214-B0F4-42E9-941D-9687C3AE9FB9}"/>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rPr>
                              <w:rFonts w:hint="default" w:ascii="Times New Roman" w:hAnsi="Times New Roman" w:cs="Times New Roman"/>
                            </w:rPr>
                          </w:pPr>
                          <w:r>
                            <w:rPr>
                              <w:rFonts w:hint="default" w:ascii="Times New Roman" w:hAnsi="Times New Roman" w:cs="Times New Roman"/>
                              <w:sz w:val="22"/>
                              <w:szCs w:val="22"/>
                            </w:rPr>
                            <w:t xml:space="preserve">— </w:t>
                          </w: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PAGE  \* MERGEFORMAT </w:instrText>
                          </w:r>
                          <w:r>
                            <w:rPr>
                              <w:rFonts w:hint="default" w:ascii="Times New Roman" w:hAnsi="Times New Roman" w:cs="Times New Roman"/>
                              <w:sz w:val="22"/>
                              <w:szCs w:val="22"/>
                            </w:rPr>
                            <w:fldChar w:fldCharType="separate"/>
                          </w:r>
                          <w:r>
                            <w:rPr>
                              <w:rFonts w:hint="default" w:ascii="Times New Roman" w:hAnsi="Times New Roman" w:cs="Times New Roman"/>
                              <w:sz w:val="22"/>
                              <w:szCs w:val="22"/>
                            </w:rPr>
                            <w:t>1</w:t>
                          </w:r>
                          <w:r>
                            <w:rPr>
                              <w:rFonts w:hint="default" w:ascii="Times New Roman" w:hAnsi="Times New Roman" w:cs="Times New Roman"/>
                              <w:sz w:val="22"/>
                              <w:szCs w:val="22"/>
                            </w:rPr>
                            <w:fldChar w:fldCharType="end"/>
                          </w:r>
                          <w:r>
                            <w:rPr>
                              <w:rFonts w:hint="default" w:ascii="Times New Roman" w:hAnsi="Times New Roman" w:cs="Times New Roman"/>
                              <w:sz w:val="22"/>
                              <w:szCs w:val="22"/>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12"/>
                      <w:rPr>
                        <w:rFonts w:hint="default" w:ascii="Times New Roman" w:hAnsi="Times New Roman" w:cs="Times New Roman"/>
                      </w:rPr>
                    </w:pPr>
                    <w:r>
                      <w:rPr>
                        <w:rFonts w:hint="default" w:ascii="Times New Roman" w:hAnsi="Times New Roman" w:cs="Times New Roman"/>
                        <w:sz w:val="22"/>
                        <w:szCs w:val="22"/>
                      </w:rPr>
                      <w:t xml:space="preserve">— </w:t>
                    </w: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PAGE  \* MERGEFORMAT </w:instrText>
                    </w:r>
                    <w:r>
                      <w:rPr>
                        <w:rFonts w:hint="default" w:ascii="Times New Roman" w:hAnsi="Times New Roman" w:cs="Times New Roman"/>
                        <w:sz w:val="22"/>
                        <w:szCs w:val="22"/>
                      </w:rPr>
                      <w:fldChar w:fldCharType="separate"/>
                    </w:r>
                    <w:r>
                      <w:rPr>
                        <w:rFonts w:hint="default" w:ascii="Times New Roman" w:hAnsi="Times New Roman" w:cs="Times New Roman"/>
                        <w:sz w:val="22"/>
                        <w:szCs w:val="22"/>
                      </w:rPr>
                      <w:t>1</w:t>
                    </w:r>
                    <w:r>
                      <w:rPr>
                        <w:rFonts w:hint="default" w:ascii="Times New Roman" w:hAnsi="Times New Roman" w:cs="Times New Roman"/>
                        <w:sz w:val="22"/>
                        <w:szCs w:val="22"/>
                      </w:rPr>
                      <w:fldChar w:fldCharType="end"/>
                    </w:r>
                    <w:r>
                      <w:rPr>
                        <w:rFonts w:hint="default" w:ascii="Times New Roman" w:hAnsi="Times New Roman" w:cs="Times New Roman"/>
                        <w:sz w:val="22"/>
                        <w:szCs w:val="22"/>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7661"/>
    <w:rsid w:val="00016201"/>
    <w:rsid w:val="00021B58"/>
    <w:rsid w:val="00027465"/>
    <w:rsid w:val="00033421"/>
    <w:rsid w:val="00057661"/>
    <w:rsid w:val="000A10BF"/>
    <w:rsid w:val="000A65A1"/>
    <w:rsid w:val="000D7FA8"/>
    <w:rsid w:val="000F044C"/>
    <w:rsid w:val="001306FA"/>
    <w:rsid w:val="00131036"/>
    <w:rsid w:val="00145793"/>
    <w:rsid w:val="00171562"/>
    <w:rsid w:val="001917CB"/>
    <w:rsid w:val="001B31C6"/>
    <w:rsid w:val="001C37DA"/>
    <w:rsid w:val="001E673E"/>
    <w:rsid w:val="001F4F60"/>
    <w:rsid w:val="002012EE"/>
    <w:rsid w:val="00214FE1"/>
    <w:rsid w:val="002154E0"/>
    <w:rsid w:val="0023001B"/>
    <w:rsid w:val="00232498"/>
    <w:rsid w:val="0025165C"/>
    <w:rsid w:val="00255D51"/>
    <w:rsid w:val="0026225E"/>
    <w:rsid w:val="00285386"/>
    <w:rsid w:val="0028562A"/>
    <w:rsid w:val="00297262"/>
    <w:rsid w:val="002C1220"/>
    <w:rsid w:val="002E0ADA"/>
    <w:rsid w:val="002E1703"/>
    <w:rsid w:val="0032237C"/>
    <w:rsid w:val="00383081"/>
    <w:rsid w:val="003A3037"/>
    <w:rsid w:val="003D6934"/>
    <w:rsid w:val="0040251E"/>
    <w:rsid w:val="00407811"/>
    <w:rsid w:val="00414DFE"/>
    <w:rsid w:val="004252D4"/>
    <w:rsid w:val="00451132"/>
    <w:rsid w:val="00473EE2"/>
    <w:rsid w:val="00484EBF"/>
    <w:rsid w:val="004A60DB"/>
    <w:rsid w:val="004D2E58"/>
    <w:rsid w:val="004D2F78"/>
    <w:rsid w:val="004E0D69"/>
    <w:rsid w:val="00502139"/>
    <w:rsid w:val="0051187E"/>
    <w:rsid w:val="00512454"/>
    <w:rsid w:val="00552C82"/>
    <w:rsid w:val="00556E90"/>
    <w:rsid w:val="00565A70"/>
    <w:rsid w:val="00585BE2"/>
    <w:rsid w:val="005A7047"/>
    <w:rsid w:val="005D1FE6"/>
    <w:rsid w:val="005E4955"/>
    <w:rsid w:val="005E73A2"/>
    <w:rsid w:val="00610451"/>
    <w:rsid w:val="006217F3"/>
    <w:rsid w:val="0065129A"/>
    <w:rsid w:val="006513DC"/>
    <w:rsid w:val="0066244F"/>
    <w:rsid w:val="006A68B9"/>
    <w:rsid w:val="0073042E"/>
    <w:rsid w:val="007409C7"/>
    <w:rsid w:val="00740FDE"/>
    <w:rsid w:val="00751483"/>
    <w:rsid w:val="00753328"/>
    <w:rsid w:val="00767428"/>
    <w:rsid w:val="0078422F"/>
    <w:rsid w:val="00796E5A"/>
    <w:rsid w:val="007A063D"/>
    <w:rsid w:val="007A79EB"/>
    <w:rsid w:val="00803380"/>
    <w:rsid w:val="008059E8"/>
    <w:rsid w:val="00831842"/>
    <w:rsid w:val="008319E0"/>
    <w:rsid w:val="00873328"/>
    <w:rsid w:val="0088010B"/>
    <w:rsid w:val="008C1713"/>
    <w:rsid w:val="008C4780"/>
    <w:rsid w:val="00902C84"/>
    <w:rsid w:val="00980C32"/>
    <w:rsid w:val="00982608"/>
    <w:rsid w:val="00985EEC"/>
    <w:rsid w:val="009C409C"/>
    <w:rsid w:val="009E000F"/>
    <w:rsid w:val="00A118C3"/>
    <w:rsid w:val="00A41056"/>
    <w:rsid w:val="00A51526"/>
    <w:rsid w:val="00A61F6E"/>
    <w:rsid w:val="00A6711C"/>
    <w:rsid w:val="00A734B1"/>
    <w:rsid w:val="00A85D0F"/>
    <w:rsid w:val="00A97F95"/>
    <w:rsid w:val="00AC6AA6"/>
    <w:rsid w:val="00B00FEE"/>
    <w:rsid w:val="00B126E1"/>
    <w:rsid w:val="00B328E2"/>
    <w:rsid w:val="00B336AC"/>
    <w:rsid w:val="00B378FA"/>
    <w:rsid w:val="00B40C6D"/>
    <w:rsid w:val="00B72B66"/>
    <w:rsid w:val="00BA6937"/>
    <w:rsid w:val="00BB29EB"/>
    <w:rsid w:val="00BB3300"/>
    <w:rsid w:val="00BB61F5"/>
    <w:rsid w:val="00BC5C04"/>
    <w:rsid w:val="00BD11E2"/>
    <w:rsid w:val="00BE0184"/>
    <w:rsid w:val="00BF4840"/>
    <w:rsid w:val="00BF566D"/>
    <w:rsid w:val="00C03E05"/>
    <w:rsid w:val="00C04126"/>
    <w:rsid w:val="00C10D4F"/>
    <w:rsid w:val="00C1286F"/>
    <w:rsid w:val="00C210D7"/>
    <w:rsid w:val="00C34E9B"/>
    <w:rsid w:val="00C52E37"/>
    <w:rsid w:val="00C94B1A"/>
    <w:rsid w:val="00CA6910"/>
    <w:rsid w:val="00CF6C3D"/>
    <w:rsid w:val="00D057C3"/>
    <w:rsid w:val="00D0739C"/>
    <w:rsid w:val="00D10BEC"/>
    <w:rsid w:val="00D15A14"/>
    <w:rsid w:val="00D2579F"/>
    <w:rsid w:val="00D74231"/>
    <w:rsid w:val="00D85D9A"/>
    <w:rsid w:val="00D91E4D"/>
    <w:rsid w:val="00DC1729"/>
    <w:rsid w:val="00DD765C"/>
    <w:rsid w:val="00E32FA8"/>
    <w:rsid w:val="00E41700"/>
    <w:rsid w:val="00E421B4"/>
    <w:rsid w:val="00E67014"/>
    <w:rsid w:val="00EB4717"/>
    <w:rsid w:val="00EB74A3"/>
    <w:rsid w:val="00EC6326"/>
    <w:rsid w:val="00ED2419"/>
    <w:rsid w:val="00EE27FC"/>
    <w:rsid w:val="00EE5164"/>
    <w:rsid w:val="00F46F1B"/>
    <w:rsid w:val="00F56C7A"/>
    <w:rsid w:val="00F6253B"/>
    <w:rsid w:val="00F627F1"/>
    <w:rsid w:val="00F62D1A"/>
    <w:rsid w:val="00F64E35"/>
    <w:rsid w:val="00F94575"/>
    <w:rsid w:val="00FD78E5"/>
    <w:rsid w:val="00FE2614"/>
    <w:rsid w:val="0B8A5AD6"/>
    <w:rsid w:val="17604636"/>
    <w:rsid w:val="1D3A3FF9"/>
    <w:rsid w:val="2B4B6766"/>
    <w:rsid w:val="2E596189"/>
    <w:rsid w:val="32F93DAF"/>
    <w:rsid w:val="375C6946"/>
    <w:rsid w:val="39517FD6"/>
    <w:rsid w:val="39A867C7"/>
    <w:rsid w:val="4C6619DB"/>
    <w:rsid w:val="62524167"/>
    <w:rsid w:val="70427F55"/>
    <w:rsid w:val="71CA7331"/>
    <w:rsid w:val="7AD566E1"/>
    <w:rsid w:val="7E661144"/>
    <w:rsid w:val="7FA46A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0"/>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3"/>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6"/>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7"/>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8"/>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7">
    <w:name w:val="heading 6"/>
    <w:basedOn w:val="1"/>
    <w:next w:val="1"/>
    <w:link w:val="29"/>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30"/>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1"/>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32"/>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48"/>
    <w:semiHidden/>
    <w:unhideWhenUsed/>
    <w:qFormat/>
    <w:uiPriority w:val="99"/>
    <w:rPr>
      <w:sz w:val="18"/>
      <w:szCs w:val="18"/>
    </w:rPr>
  </w:style>
  <w:style w:type="paragraph" w:styleId="12">
    <w:name w:val="footer"/>
    <w:basedOn w:val="1"/>
    <w:link w:val="43"/>
    <w:unhideWhenUsed/>
    <w:qFormat/>
    <w:uiPriority w:val="99"/>
    <w:pPr>
      <w:tabs>
        <w:tab w:val="center" w:pos="4153"/>
        <w:tab w:val="right" w:pos="8306"/>
      </w:tabs>
      <w:snapToGrid w:val="0"/>
      <w:jc w:val="left"/>
    </w:pPr>
    <w:rPr>
      <w:sz w:val="18"/>
      <w:szCs w:val="18"/>
    </w:rPr>
  </w:style>
  <w:style w:type="paragraph" w:styleId="13">
    <w:name w:val="header"/>
    <w:basedOn w:val="1"/>
    <w:link w:val="42"/>
    <w:unhideWhenUsed/>
    <w:qFormat/>
    <w:uiPriority w:val="99"/>
    <w:pPr>
      <w:tabs>
        <w:tab w:val="center" w:pos="4153"/>
        <w:tab w:val="right" w:pos="8306"/>
      </w:tabs>
      <w:snapToGrid w:val="0"/>
      <w:jc w:val="center"/>
    </w:pPr>
    <w:rPr>
      <w:sz w:val="18"/>
      <w:szCs w:val="18"/>
    </w:rPr>
  </w:style>
  <w:style w:type="paragraph" w:styleId="14">
    <w:name w:val="Subtitle"/>
    <w:basedOn w:val="1"/>
    <w:next w:val="1"/>
    <w:link w:val="34"/>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Title"/>
    <w:basedOn w:val="1"/>
    <w:next w:val="1"/>
    <w:link w:val="33"/>
    <w:qFormat/>
    <w:uiPriority w:val="10"/>
    <w:pPr>
      <w:spacing w:after="80"/>
      <w:contextualSpacing/>
      <w:jc w:val="center"/>
    </w:pPr>
    <w:rPr>
      <w:rFonts w:asciiTheme="majorHAnsi" w:hAnsiTheme="majorHAnsi" w:eastAsiaTheme="majorEastAsia" w:cstheme="majorBidi"/>
      <w:spacing w:val="-10"/>
      <w:kern w:val="28"/>
      <w:sz w:val="56"/>
      <w:szCs w:val="56"/>
    </w:rPr>
  </w:style>
  <w:style w:type="paragraph" w:customStyle="1" w:styleId="18">
    <w:name w:val="标题1x"/>
    <w:basedOn w:val="2"/>
    <w:link w:val="19"/>
    <w:qFormat/>
    <w:uiPriority w:val="0"/>
    <w:pPr>
      <w:spacing w:before="340" w:after="330" w:line="600" w:lineRule="exact"/>
      <w:ind w:firstLine="640" w:firstLineChars="200"/>
    </w:pPr>
    <w:rPr>
      <w:rFonts w:ascii="黑体" w:hAnsi="黑体" w:eastAsia="黑体" w:cs="仿宋"/>
      <w:b/>
      <w:bCs/>
      <w:color w:val="auto"/>
      <w:kern w:val="44"/>
      <w:sz w:val="32"/>
      <w:szCs w:val="32"/>
    </w:rPr>
  </w:style>
  <w:style w:type="character" w:customStyle="1" w:styleId="19">
    <w:name w:val="标题1x 字符"/>
    <w:basedOn w:val="17"/>
    <w:link w:val="18"/>
    <w:qFormat/>
    <w:uiPriority w:val="0"/>
    <w:rPr>
      <w:rFonts w:ascii="黑体" w:hAnsi="黑体" w:eastAsia="黑体" w:cs="仿宋"/>
      <w:b/>
      <w:bCs/>
      <w:kern w:val="44"/>
      <w:sz w:val="32"/>
      <w:szCs w:val="32"/>
    </w:rPr>
  </w:style>
  <w:style w:type="character" w:customStyle="1" w:styleId="20">
    <w:name w:val="标题 1 字符"/>
    <w:basedOn w:val="17"/>
    <w:link w:val="2"/>
    <w:qFormat/>
    <w:uiPriority w:val="9"/>
    <w:rPr>
      <w:rFonts w:asciiTheme="majorHAnsi" w:hAnsiTheme="majorHAnsi" w:eastAsiaTheme="majorEastAsia" w:cstheme="majorBidi"/>
      <w:color w:val="104862" w:themeColor="accent1" w:themeShade="BF"/>
      <w:sz w:val="48"/>
      <w:szCs w:val="48"/>
    </w:rPr>
  </w:style>
  <w:style w:type="paragraph" w:customStyle="1" w:styleId="21">
    <w:name w:val="标题2X"/>
    <w:basedOn w:val="3"/>
    <w:link w:val="22"/>
    <w:qFormat/>
    <w:uiPriority w:val="0"/>
    <w:pPr>
      <w:spacing w:before="0" w:after="0" w:line="560" w:lineRule="exact"/>
      <w:ind w:firstLine="200" w:firstLineChars="200"/>
    </w:pPr>
    <w:rPr>
      <w:rFonts w:ascii="黑体" w:hAnsi="黑体" w:eastAsia="黑体" w:cs="仿宋"/>
      <w:b/>
      <w:bCs/>
      <w:color w:val="auto"/>
      <w:sz w:val="32"/>
      <w:szCs w:val="32"/>
    </w:rPr>
  </w:style>
  <w:style w:type="character" w:customStyle="1" w:styleId="22">
    <w:name w:val="标题2X 字符"/>
    <w:basedOn w:val="23"/>
    <w:link w:val="21"/>
    <w:qFormat/>
    <w:uiPriority w:val="0"/>
    <w:rPr>
      <w:rFonts w:ascii="黑体" w:hAnsi="黑体" w:eastAsia="黑体" w:cs="仿宋"/>
      <w:b/>
      <w:bCs/>
      <w:color w:val="104862" w:themeColor="accent1" w:themeShade="BF"/>
      <w:sz w:val="32"/>
      <w:szCs w:val="32"/>
    </w:rPr>
  </w:style>
  <w:style w:type="character" w:customStyle="1" w:styleId="23">
    <w:name w:val="标题 2 字符"/>
    <w:basedOn w:val="17"/>
    <w:link w:val="3"/>
    <w:semiHidden/>
    <w:qFormat/>
    <w:uiPriority w:val="9"/>
    <w:rPr>
      <w:rFonts w:asciiTheme="majorHAnsi" w:hAnsiTheme="majorHAnsi" w:eastAsiaTheme="majorEastAsia" w:cstheme="majorBidi"/>
      <w:color w:val="104862" w:themeColor="accent1" w:themeShade="BF"/>
      <w:sz w:val="40"/>
      <w:szCs w:val="40"/>
    </w:rPr>
  </w:style>
  <w:style w:type="paragraph" w:customStyle="1" w:styleId="24">
    <w:name w:val="标题3x"/>
    <w:basedOn w:val="1"/>
    <w:link w:val="25"/>
    <w:qFormat/>
    <w:uiPriority w:val="0"/>
    <w:pPr>
      <w:tabs>
        <w:tab w:val="left" w:pos="1440"/>
      </w:tabs>
      <w:spacing w:line="560" w:lineRule="exact"/>
      <w:ind w:firstLine="200" w:firstLineChars="200"/>
      <w:outlineLvl w:val="3"/>
    </w:pPr>
    <w:rPr>
      <w:rFonts w:ascii="仿宋" w:hAnsi="仿宋" w:eastAsia="仿宋" w:cs="仿宋"/>
      <w:b/>
      <w:bCs/>
      <w:sz w:val="32"/>
      <w:szCs w:val="28"/>
    </w:rPr>
  </w:style>
  <w:style w:type="character" w:customStyle="1" w:styleId="25">
    <w:name w:val="标题3x 字符"/>
    <w:basedOn w:val="17"/>
    <w:link w:val="24"/>
    <w:qFormat/>
    <w:uiPriority w:val="0"/>
    <w:rPr>
      <w:rFonts w:ascii="仿宋" w:hAnsi="仿宋" w:eastAsia="仿宋" w:cs="仿宋"/>
      <w:b/>
      <w:bCs/>
      <w:sz w:val="32"/>
      <w:szCs w:val="28"/>
    </w:rPr>
  </w:style>
  <w:style w:type="character" w:customStyle="1" w:styleId="26">
    <w:name w:val="标题 3 字符"/>
    <w:basedOn w:val="17"/>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7">
    <w:name w:val="标题 4 字符"/>
    <w:basedOn w:val="17"/>
    <w:link w:val="5"/>
    <w:semiHidden/>
    <w:qFormat/>
    <w:uiPriority w:val="9"/>
    <w:rPr>
      <w:rFonts w:cstheme="majorBidi"/>
      <w:color w:val="104862" w:themeColor="accent1" w:themeShade="BF"/>
      <w:sz w:val="28"/>
      <w:szCs w:val="28"/>
    </w:rPr>
  </w:style>
  <w:style w:type="character" w:customStyle="1" w:styleId="28">
    <w:name w:val="标题 5 字符"/>
    <w:basedOn w:val="17"/>
    <w:link w:val="6"/>
    <w:semiHidden/>
    <w:qFormat/>
    <w:uiPriority w:val="9"/>
    <w:rPr>
      <w:rFonts w:cstheme="majorBidi"/>
      <w:color w:val="104862" w:themeColor="accent1" w:themeShade="BF"/>
      <w:sz w:val="24"/>
      <w:szCs w:val="24"/>
    </w:rPr>
  </w:style>
  <w:style w:type="character" w:customStyle="1" w:styleId="29">
    <w:name w:val="标题 6 字符"/>
    <w:basedOn w:val="17"/>
    <w:link w:val="7"/>
    <w:semiHidden/>
    <w:qFormat/>
    <w:uiPriority w:val="9"/>
    <w:rPr>
      <w:rFonts w:cstheme="majorBidi"/>
      <w:b/>
      <w:bCs/>
      <w:color w:val="104862" w:themeColor="accent1" w:themeShade="BF"/>
    </w:rPr>
  </w:style>
  <w:style w:type="character" w:customStyle="1" w:styleId="30">
    <w:name w:val="标题 7 字符"/>
    <w:basedOn w:val="17"/>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1">
    <w:name w:val="标题 8 字符"/>
    <w:basedOn w:val="17"/>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2">
    <w:name w:val="标题 9 字符"/>
    <w:basedOn w:val="17"/>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3">
    <w:name w:val="标题 字符"/>
    <w:basedOn w:val="17"/>
    <w:link w:val="15"/>
    <w:qFormat/>
    <w:uiPriority w:val="10"/>
    <w:rPr>
      <w:rFonts w:asciiTheme="majorHAnsi" w:hAnsiTheme="majorHAnsi" w:eastAsiaTheme="majorEastAsia" w:cstheme="majorBidi"/>
      <w:spacing w:val="-10"/>
      <w:kern w:val="28"/>
      <w:sz w:val="56"/>
      <w:szCs w:val="56"/>
    </w:rPr>
  </w:style>
  <w:style w:type="character" w:customStyle="1" w:styleId="34">
    <w:name w:val="副标题 字符"/>
    <w:basedOn w:val="17"/>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5">
    <w:name w:val="Quote"/>
    <w:basedOn w:val="1"/>
    <w:next w:val="1"/>
    <w:link w:val="36"/>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6">
    <w:name w:val="引用 字符"/>
    <w:basedOn w:val="17"/>
    <w:link w:val="35"/>
    <w:qFormat/>
    <w:uiPriority w:val="29"/>
    <w:rPr>
      <w:i/>
      <w:iCs/>
      <w:color w:val="404040" w:themeColor="text1" w:themeTint="BF"/>
      <w14:textFill>
        <w14:solidFill>
          <w14:schemeClr w14:val="tx1">
            <w14:lumMod w14:val="75000"/>
            <w14:lumOff w14:val="25000"/>
          </w14:schemeClr>
        </w14:solidFill>
      </w14:textFill>
    </w:rPr>
  </w:style>
  <w:style w:type="paragraph" w:styleId="37">
    <w:name w:val="List Paragraph"/>
    <w:basedOn w:val="1"/>
    <w:qFormat/>
    <w:uiPriority w:val="34"/>
    <w:pPr>
      <w:ind w:left="720"/>
      <w:contextualSpacing/>
    </w:pPr>
  </w:style>
  <w:style w:type="character" w:customStyle="1" w:styleId="38">
    <w:name w:val="明显强调1"/>
    <w:basedOn w:val="17"/>
    <w:qFormat/>
    <w:uiPriority w:val="21"/>
    <w:rPr>
      <w:i/>
      <w:iCs/>
      <w:color w:val="104862" w:themeColor="accent1" w:themeShade="BF"/>
    </w:rPr>
  </w:style>
  <w:style w:type="paragraph" w:styleId="39">
    <w:name w:val="Intense Quote"/>
    <w:basedOn w:val="1"/>
    <w:next w:val="1"/>
    <w:link w:val="40"/>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40">
    <w:name w:val="明显引用 字符"/>
    <w:basedOn w:val="17"/>
    <w:link w:val="39"/>
    <w:qFormat/>
    <w:uiPriority w:val="30"/>
    <w:rPr>
      <w:i/>
      <w:iCs/>
      <w:color w:val="104862" w:themeColor="accent1" w:themeShade="BF"/>
    </w:rPr>
  </w:style>
  <w:style w:type="character" w:customStyle="1" w:styleId="41">
    <w:name w:val="明显参考1"/>
    <w:basedOn w:val="17"/>
    <w:qFormat/>
    <w:uiPriority w:val="32"/>
    <w:rPr>
      <w:b/>
      <w:bCs/>
      <w:smallCaps/>
      <w:color w:val="104862" w:themeColor="accent1" w:themeShade="BF"/>
      <w:spacing w:val="5"/>
    </w:rPr>
  </w:style>
  <w:style w:type="character" w:customStyle="1" w:styleId="42">
    <w:name w:val="页眉 字符"/>
    <w:basedOn w:val="17"/>
    <w:link w:val="13"/>
    <w:qFormat/>
    <w:uiPriority w:val="99"/>
    <w:rPr>
      <w:sz w:val="18"/>
      <w:szCs w:val="18"/>
    </w:rPr>
  </w:style>
  <w:style w:type="character" w:customStyle="1" w:styleId="43">
    <w:name w:val="页脚 字符"/>
    <w:basedOn w:val="17"/>
    <w:link w:val="12"/>
    <w:qFormat/>
    <w:uiPriority w:val="99"/>
    <w:rPr>
      <w:sz w:val="18"/>
      <w:szCs w:val="18"/>
    </w:rPr>
  </w:style>
  <w:style w:type="character" w:customStyle="1" w:styleId="44">
    <w:name w:val="font11"/>
    <w:qFormat/>
    <w:uiPriority w:val="0"/>
    <w:rPr>
      <w:rFonts w:hint="eastAsia" w:ascii="黑体" w:hAnsi="宋体" w:eastAsia="黑体" w:cs="黑体"/>
      <w:color w:val="000000"/>
      <w:sz w:val="22"/>
      <w:szCs w:val="22"/>
      <w:u w:val="none"/>
    </w:rPr>
  </w:style>
  <w:style w:type="paragraph" w:customStyle="1" w:styleId="45">
    <w:name w:val="修订1"/>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46">
    <w:name w:val="font31"/>
    <w:qFormat/>
    <w:uiPriority w:val="0"/>
    <w:rPr>
      <w:rFonts w:hint="eastAsia" w:ascii="宋体" w:hAnsi="宋体" w:eastAsia="宋体" w:cs="宋体"/>
      <w:color w:val="000000"/>
      <w:sz w:val="22"/>
      <w:szCs w:val="22"/>
      <w:u w:val="none"/>
    </w:rPr>
  </w:style>
  <w:style w:type="paragraph" w:customStyle="1" w:styleId="47">
    <w:name w:val="Revision"/>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48">
    <w:name w:val="批注框文本 字符"/>
    <w:basedOn w:val="17"/>
    <w:link w:val="11"/>
    <w:semiHidden/>
    <w:qFormat/>
    <w:uiPriority w:val="99"/>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877</Words>
  <Characters>5005</Characters>
  <Lines>41</Lines>
  <Paragraphs>11</Paragraphs>
  <TotalTime>16</TotalTime>
  <ScaleCrop>false</ScaleCrop>
  <LinksUpToDate>false</LinksUpToDate>
  <CharactersWithSpaces>5871</CharactersWithSpaces>
  <Application>WPS Office_12.8.2.15292_F1E327BC-269C-435d-A152-05C5408002CA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2026-04-27T08:42:00Z</dcterms:created>
  <dc:creator>5022</dc:creator>
  <cp:lastModifiedBy>丁鹏</cp:lastModifiedBy>
  <cp:lastPrinted>2026-04-15T09:39:00Z</cp:lastPrinted>
  <dcterms:modified xsi:type="dcterms:W3CDTF">2026-04-28T05:29:59Z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eyJoZGlkIjoiMzEwNTM5NzYwMDRjMzkwZTVkZjY2ODkwMGIxNGU0OTUiLCJ1c2VySWQiOiI3MTk2NTQzMDcifQ==</vt:lpwstr>
  </property>
  <property fmtid="{D5CDD505-2E9C-101B-9397-08002B2CF9AE}" pid="3" name="KSOProductBuildVer">
    <vt:lpwstr>2052-12.8.2.15292</vt:lpwstr>
  </property>
  <property fmtid="{D5CDD505-2E9C-101B-9397-08002B2CF9AE}" pid="4" name="ICV">
    <vt:lpwstr>898BC59DFB6A448E8D9212EB606AB429_13</vt:lpwstr>
  </property>
</Properties>
</file>