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3A934">
      <w:pPr>
        <w:adjustRightInd w:val="0"/>
        <w:snapToGrid w:val="0"/>
        <w:spacing w:line="560" w:lineRule="exact"/>
        <w:jc w:val="center"/>
        <w:rPr>
          <w:rFonts w:ascii="Times New Roman" w:hAnsi="Times New Roman" w:eastAsia="方正小标宋_GBK" w:cs="Times New Roman"/>
          <w:b w:val="0"/>
          <w:bCs w:val="0"/>
          <w:spacing w:val="-11"/>
          <w:sz w:val="44"/>
          <w:szCs w:val="44"/>
        </w:rPr>
      </w:pPr>
      <w:r>
        <w:rPr>
          <w:rFonts w:ascii="Times New Roman" w:hAnsi="Times New Roman" w:eastAsia="方正小标宋_GBK" w:cs="Times New Roman"/>
          <w:b w:val="0"/>
          <w:bCs w:val="0"/>
          <w:spacing w:val="-11"/>
          <w:sz w:val="44"/>
          <w:szCs w:val="44"/>
        </w:rPr>
        <w:t>苏州市</w:t>
      </w:r>
      <w:r>
        <w:rPr>
          <w:rFonts w:hint="eastAsia" w:ascii="Times New Roman" w:hAnsi="Times New Roman" w:eastAsia="方正小标宋_GBK" w:cs="Times New Roman"/>
          <w:b w:val="0"/>
          <w:bCs w:val="0"/>
          <w:spacing w:val="-11"/>
          <w:sz w:val="44"/>
          <w:szCs w:val="44"/>
          <w:lang w:eastAsia="zh-CN"/>
        </w:rPr>
        <w:t>“十五五”</w:t>
      </w:r>
      <w:r>
        <w:rPr>
          <w:rFonts w:hint="eastAsia" w:ascii="Times New Roman" w:hAnsi="Times New Roman" w:eastAsia="方正小标宋_GBK" w:cs="Times New Roman"/>
          <w:b w:val="0"/>
          <w:bCs w:val="0"/>
          <w:spacing w:val="-11"/>
          <w:sz w:val="44"/>
          <w:szCs w:val="44"/>
        </w:rPr>
        <w:t>海绵城市建设专篇</w:t>
      </w:r>
    </w:p>
    <w:p w14:paraId="7A3F1D6F">
      <w:pPr>
        <w:spacing w:line="560" w:lineRule="exact"/>
        <w:jc w:val="center"/>
        <w:rPr>
          <w:rFonts w:hint="eastAsia" w:ascii="Times New Roman" w:hAnsi="Times New Roman" w:eastAsia="楷体_GB2312" w:cs="楷体_GB2312"/>
          <w:b w:val="0"/>
          <w:bCs w:val="0"/>
          <w:snapToGrid w:val="0"/>
          <w:spacing w:val="-6"/>
          <w:kern w:val="0"/>
          <w:sz w:val="32"/>
          <w:szCs w:val="32"/>
        </w:rPr>
      </w:pPr>
      <w:r>
        <w:rPr>
          <w:rFonts w:hint="eastAsia" w:ascii="Times New Roman" w:hAnsi="Times New Roman" w:eastAsia="楷体_GB2312" w:cs="楷体_GB2312"/>
          <w:b w:val="0"/>
          <w:bCs w:val="0"/>
          <w:snapToGrid w:val="0"/>
          <w:spacing w:val="-6"/>
          <w:kern w:val="0"/>
          <w:sz w:val="32"/>
          <w:szCs w:val="32"/>
        </w:rPr>
        <w:t>（征求意见稿）</w:t>
      </w:r>
    </w:p>
    <w:p w14:paraId="14F4DDE9">
      <w:pPr>
        <w:adjustRightInd w:val="0"/>
        <w:snapToGrid w:val="0"/>
        <w:spacing w:line="560" w:lineRule="exact"/>
        <w:jc w:val="center"/>
        <w:rPr>
          <w:rFonts w:ascii="Times New Roman" w:hAnsi="Times New Roman" w:eastAsia="仿宋_GB2312" w:cs="Times New Roman"/>
          <w:b w:val="0"/>
          <w:bCs w:val="0"/>
          <w:color w:val="000000"/>
          <w:spacing w:val="9"/>
          <w:sz w:val="32"/>
          <w:szCs w:val="32"/>
        </w:rPr>
      </w:pPr>
    </w:p>
    <w:p w14:paraId="295A4CB2">
      <w:pPr>
        <w:pStyle w:val="2"/>
        <w:keepNext w:val="0"/>
        <w:keepLines w:val="0"/>
        <w:spacing w:before="0" w:after="0" w:line="560" w:lineRule="exact"/>
        <w:ind w:firstLine="640"/>
        <w:rPr>
          <w:rFonts w:ascii="Times New Roman" w:hAnsi="Times New Roman"/>
          <w:b w:val="0"/>
          <w:bCs w:val="0"/>
        </w:rPr>
      </w:pPr>
      <w:bookmarkStart w:id="0" w:name="_Toc236915368"/>
      <w:r>
        <w:rPr>
          <w:rFonts w:ascii="Times New Roman" w:hAnsi="Times New Roman"/>
          <w:b w:val="0"/>
          <w:bCs w:val="0"/>
        </w:rPr>
        <w:t>一、总则</w:t>
      </w:r>
      <w:bookmarkEnd w:id="0"/>
    </w:p>
    <w:p w14:paraId="083D0908">
      <w:pPr>
        <w:pStyle w:val="3"/>
        <w:keepNext w:val="0"/>
        <w:keepLines w:val="0"/>
        <w:spacing w:before="0" w:after="0" w:line="560" w:lineRule="exact"/>
        <w:ind w:firstLine="643"/>
        <w:rPr>
          <w:rFonts w:ascii="Times New Roman" w:hAnsi="Times New Roman" w:cs="Times New Roman"/>
          <w:b w:val="0"/>
          <w:bCs w:val="0"/>
        </w:rPr>
      </w:pPr>
      <w:bookmarkStart w:id="1" w:name="OLE_LINK14"/>
      <w:bookmarkStart w:id="2" w:name="_Toc236915369"/>
      <w:r>
        <w:rPr>
          <w:rFonts w:ascii="Times New Roman" w:hAnsi="Times New Roman" w:cs="Times New Roman"/>
          <w:b w:val="0"/>
          <w:bCs w:val="0"/>
        </w:rPr>
        <w:t>（一）</w:t>
      </w:r>
      <w:bookmarkEnd w:id="1"/>
      <w:r>
        <w:rPr>
          <w:rFonts w:ascii="Times New Roman" w:hAnsi="Times New Roman" w:cs="Times New Roman"/>
          <w:b w:val="0"/>
          <w:bCs w:val="0"/>
        </w:rPr>
        <w:t>编制目的</w:t>
      </w:r>
      <w:bookmarkEnd w:id="2"/>
    </w:p>
    <w:p w14:paraId="28902C82">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为落实《国务院办公厅关于推进海绵城市建设的指导意见》（国办发〔2015〕75号）、《关于进一步明确海绵城市建设工作有关要求的通知》（建办城〔2022〕17号）中坚持规划引领、统筹推进的海绵城市建设原则，贯彻中央城市工作会议提出“着力建设安全可靠的韧性城市”的重点任务，规范海绵城市规划建设管理，全面协调海绵城市建设与相关规划的关系，有效指导苏州市海绵城市建设，提升水环境质量、修复城市水生态，促进城市可持续、高质量发展，编制海绵城市专篇。</w:t>
      </w:r>
    </w:p>
    <w:p w14:paraId="3E083E55">
      <w:pPr>
        <w:pStyle w:val="3"/>
        <w:keepNext w:val="0"/>
        <w:keepLines w:val="0"/>
        <w:spacing w:before="0" w:after="0" w:line="560" w:lineRule="exact"/>
        <w:ind w:firstLine="643"/>
        <w:rPr>
          <w:rFonts w:ascii="Times New Roman" w:hAnsi="Times New Roman" w:cs="Times New Roman"/>
          <w:b w:val="0"/>
          <w:bCs w:val="0"/>
        </w:rPr>
      </w:pPr>
      <w:bookmarkStart w:id="3" w:name="_Toc236915370"/>
      <w:r>
        <w:rPr>
          <w:rFonts w:ascii="Times New Roman" w:hAnsi="Times New Roman" w:cs="Times New Roman"/>
          <w:b w:val="0"/>
          <w:bCs w:val="0"/>
        </w:rPr>
        <w:t>（二）编制范围、期限</w:t>
      </w:r>
      <w:bookmarkEnd w:id="3"/>
    </w:p>
    <w:p w14:paraId="5D4C2B2D">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编制范围为苏州市区行政辖区（不含太湖水域），包括吴江区、吴中区、相城区、姑苏区、工业园区和高新区（虎丘区）一共六个版块，总面积3056平方公里。对市域范围内的生态安全格局构建、海绵城市建设活动进行指引。</w:t>
      </w:r>
    </w:p>
    <w:p w14:paraId="4E21578E">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编制目标年为2030年，与国民经济和社会发展“十五五”规划期限保持一致，远期展望至2035年。</w:t>
      </w:r>
    </w:p>
    <w:p w14:paraId="7028C63D">
      <w:pPr>
        <w:pStyle w:val="3"/>
        <w:keepNext w:val="0"/>
        <w:keepLines w:val="0"/>
        <w:spacing w:before="0" w:after="0" w:line="560" w:lineRule="exact"/>
        <w:ind w:firstLine="643"/>
        <w:rPr>
          <w:rFonts w:ascii="Times New Roman" w:hAnsi="Times New Roman" w:cs="Times New Roman"/>
          <w:b w:val="0"/>
          <w:bCs w:val="0"/>
        </w:rPr>
      </w:pPr>
      <w:bookmarkStart w:id="4" w:name="_Toc236915371"/>
      <w:r>
        <w:rPr>
          <w:rFonts w:ascii="Times New Roman" w:hAnsi="Times New Roman" w:cs="Times New Roman"/>
          <w:b w:val="0"/>
          <w:bCs w:val="0"/>
        </w:rPr>
        <w:t>（三）编制原则</w:t>
      </w:r>
      <w:bookmarkEnd w:id="4"/>
    </w:p>
    <w:p w14:paraId="674A0253">
      <w:pPr>
        <w:spacing w:line="560" w:lineRule="exact"/>
        <w:ind w:firstLine="640" w:firstLineChars="200"/>
        <w:rPr>
          <w:rFonts w:ascii="Times New Roman" w:hAnsi="Times New Roman" w:eastAsia="仿宋_GB2312" w:cs="Times New Roman"/>
          <w:b w:val="0"/>
          <w:bCs w:val="0"/>
          <w:snapToGrid w:val="0"/>
          <w:spacing w:val="-6"/>
          <w:kern w:val="0"/>
          <w:sz w:val="32"/>
          <w:szCs w:val="32"/>
        </w:rPr>
      </w:pPr>
      <w:r>
        <w:rPr>
          <w:rFonts w:hint="eastAsia" w:ascii="Times New Roman" w:hAnsi="Times New Roman" w:eastAsia="仿宋_GB2312"/>
          <w:b w:val="0"/>
          <w:bCs w:val="0"/>
          <w:sz w:val="32"/>
          <w:szCs w:val="32"/>
        </w:rPr>
        <w:t>1</w:t>
      </w:r>
      <w:r>
        <w:rPr>
          <w:rFonts w:ascii="Times New Roman" w:hAnsi="Times New Roman" w:eastAsia="仿宋_GB2312"/>
          <w:b w:val="0"/>
          <w:bCs w:val="0"/>
          <w:sz w:val="32"/>
          <w:szCs w:val="32"/>
        </w:rPr>
        <w:t>.生态优先：</w:t>
      </w:r>
      <w:r>
        <w:rPr>
          <w:rFonts w:ascii="Times New Roman" w:hAnsi="Times New Roman" w:eastAsia="仿宋_GB2312" w:cs="Times New Roman"/>
          <w:b w:val="0"/>
          <w:bCs w:val="0"/>
          <w:snapToGrid w:val="0"/>
          <w:spacing w:val="-6"/>
          <w:kern w:val="0"/>
          <w:sz w:val="32"/>
          <w:szCs w:val="32"/>
        </w:rPr>
        <w:t>在城市开发建设过程中保护和修复自然海绵体，在灰色设施较为完善的区域优先考虑绿色设施，构建海绵型生态格局。</w:t>
      </w:r>
    </w:p>
    <w:p w14:paraId="1D482736">
      <w:pPr>
        <w:spacing w:line="560" w:lineRule="exact"/>
        <w:ind w:firstLine="640"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b w:val="0"/>
          <w:bCs w:val="0"/>
          <w:sz w:val="32"/>
          <w:szCs w:val="32"/>
        </w:rPr>
        <w:t>2.重点突出：</w:t>
      </w:r>
      <w:r>
        <w:rPr>
          <w:rFonts w:ascii="Times New Roman" w:hAnsi="Times New Roman" w:eastAsia="仿宋_GB2312" w:cs="Times New Roman"/>
          <w:b w:val="0"/>
          <w:bCs w:val="0"/>
          <w:snapToGrid w:val="0"/>
          <w:spacing w:val="-6"/>
          <w:kern w:val="0"/>
          <w:sz w:val="32"/>
          <w:szCs w:val="32"/>
        </w:rPr>
        <w:t>从水系统问题出发，编制重点为水环境改善，兼顾水生态修复和水文化传承。</w:t>
      </w:r>
    </w:p>
    <w:p w14:paraId="7414FC29">
      <w:pPr>
        <w:spacing w:line="560" w:lineRule="exact"/>
        <w:ind w:firstLine="640" w:firstLineChars="200"/>
        <w:rPr>
          <w:rFonts w:ascii="Times New Roman" w:hAnsi="Times New Roman" w:eastAsia="仿宋_GB2312" w:cs="Times New Roman"/>
          <w:b w:val="0"/>
          <w:bCs w:val="0"/>
          <w:snapToGrid w:val="0"/>
          <w:spacing w:val="-6"/>
          <w:kern w:val="0"/>
          <w:sz w:val="32"/>
          <w:szCs w:val="32"/>
        </w:rPr>
      </w:pPr>
      <w:r>
        <w:rPr>
          <w:rFonts w:hint="eastAsia" w:ascii="Times New Roman" w:hAnsi="Times New Roman" w:eastAsia="仿宋_GB2312"/>
          <w:b w:val="0"/>
          <w:bCs w:val="0"/>
          <w:sz w:val="32"/>
          <w:szCs w:val="32"/>
        </w:rPr>
        <w:t>3</w:t>
      </w:r>
      <w:r>
        <w:rPr>
          <w:rFonts w:ascii="Times New Roman" w:hAnsi="Times New Roman" w:eastAsia="仿宋_GB2312"/>
          <w:b w:val="0"/>
          <w:bCs w:val="0"/>
          <w:sz w:val="32"/>
          <w:szCs w:val="32"/>
        </w:rPr>
        <w:t>.因地制宜：</w:t>
      </w:r>
      <w:r>
        <w:rPr>
          <w:rFonts w:ascii="Times New Roman" w:hAnsi="Times New Roman" w:eastAsia="仿宋_GB2312" w:cs="Times New Roman"/>
          <w:b w:val="0"/>
          <w:bCs w:val="0"/>
          <w:snapToGrid w:val="0"/>
          <w:spacing w:val="-6"/>
          <w:kern w:val="0"/>
          <w:sz w:val="32"/>
          <w:szCs w:val="32"/>
        </w:rPr>
        <w:t>根据苏州的自然条件、水文地质特点、水资源利用情况、景观要求，合理确定规划目标和低影响开发设施建设方式。</w:t>
      </w:r>
    </w:p>
    <w:p w14:paraId="641A9DEA">
      <w:pPr>
        <w:spacing w:line="560" w:lineRule="exact"/>
        <w:ind w:firstLine="640" w:firstLineChars="200"/>
        <w:rPr>
          <w:rFonts w:ascii="Times New Roman" w:hAnsi="Times New Roman" w:eastAsia="仿宋_GB2312" w:cs="Times New Roman"/>
          <w:b w:val="0"/>
          <w:bCs w:val="0"/>
          <w:snapToGrid w:val="0"/>
          <w:spacing w:val="-6"/>
          <w:kern w:val="0"/>
          <w:sz w:val="32"/>
          <w:szCs w:val="32"/>
        </w:rPr>
      </w:pPr>
      <w:r>
        <w:rPr>
          <w:rFonts w:hint="eastAsia" w:ascii="Times New Roman" w:hAnsi="Times New Roman" w:eastAsia="仿宋_GB2312"/>
          <w:b w:val="0"/>
          <w:bCs w:val="0"/>
          <w:sz w:val="32"/>
          <w:szCs w:val="32"/>
        </w:rPr>
        <w:t>4</w:t>
      </w:r>
      <w:r>
        <w:rPr>
          <w:rFonts w:ascii="Times New Roman" w:hAnsi="Times New Roman" w:eastAsia="仿宋_GB2312"/>
          <w:b w:val="0"/>
          <w:bCs w:val="0"/>
          <w:sz w:val="32"/>
          <w:szCs w:val="32"/>
        </w:rPr>
        <w:t>.统筹推进：</w:t>
      </w:r>
      <w:r>
        <w:rPr>
          <w:rFonts w:ascii="Times New Roman" w:hAnsi="Times New Roman" w:eastAsia="仿宋_GB2312" w:cs="Times New Roman"/>
          <w:b w:val="0"/>
          <w:bCs w:val="0"/>
          <w:snapToGrid w:val="0"/>
          <w:spacing w:val="-6"/>
          <w:kern w:val="0"/>
          <w:sz w:val="32"/>
          <w:szCs w:val="32"/>
        </w:rPr>
        <w:t>绿色设施与灰色设施相统筹、海绵城市建设与综合管廊建设、清水工程相统筹。</w:t>
      </w:r>
    </w:p>
    <w:p w14:paraId="6C28FEEF">
      <w:pPr>
        <w:pStyle w:val="2"/>
        <w:keepNext w:val="0"/>
        <w:keepLines w:val="0"/>
        <w:spacing w:before="0" w:after="0" w:line="560" w:lineRule="exact"/>
        <w:ind w:firstLine="640"/>
        <w:rPr>
          <w:rFonts w:ascii="Times New Roman" w:hAnsi="Times New Roman"/>
          <w:b w:val="0"/>
          <w:bCs w:val="0"/>
        </w:rPr>
      </w:pPr>
      <w:bookmarkStart w:id="5" w:name="_Toc236915372"/>
      <w:r>
        <w:rPr>
          <w:rFonts w:ascii="Times New Roman" w:hAnsi="Times New Roman"/>
          <w:b w:val="0"/>
          <w:bCs w:val="0"/>
        </w:rPr>
        <w:t>二、目标与策略</w:t>
      </w:r>
      <w:bookmarkEnd w:id="5"/>
    </w:p>
    <w:p w14:paraId="7BC90A5C">
      <w:pPr>
        <w:pStyle w:val="3"/>
        <w:keepNext w:val="0"/>
        <w:keepLines w:val="0"/>
        <w:spacing w:before="0" w:after="0" w:line="560" w:lineRule="exact"/>
        <w:ind w:firstLine="643"/>
        <w:rPr>
          <w:rFonts w:ascii="Times New Roman" w:hAnsi="Times New Roman" w:cs="Times New Roman"/>
          <w:b w:val="0"/>
          <w:bCs w:val="0"/>
        </w:rPr>
      </w:pPr>
      <w:bookmarkStart w:id="6" w:name="_Toc236915373"/>
      <w:r>
        <w:rPr>
          <w:rFonts w:ascii="Times New Roman" w:hAnsi="Times New Roman" w:cs="Times New Roman"/>
          <w:b w:val="0"/>
          <w:bCs w:val="0"/>
        </w:rPr>
        <w:t>（一）总体目标</w:t>
      </w:r>
      <w:bookmarkEnd w:id="6"/>
    </w:p>
    <w:p w14:paraId="6A9F6F38">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将海绵城市理念与城市开发建设有机融合，探索改善水环境、保护水生态、强化水安全、弘扬水文化的协同模式，把苏州市建成平原河网城市城水共生的典范。</w:t>
      </w:r>
    </w:p>
    <w:p w14:paraId="017AA4AB">
      <w:pPr>
        <w:pStyle w:val="3"/>
        <w:keepNext w:val="0"/>
        <w:keepLines w:val="0"/>
        <w:spacing w:before="0" w:after="0" w:line="560" w:lineRule="exact"/>
        <w:ind w:firstLine="643"/>
        <w:rPr>
          <w:rFonts w:ascii="Times New Roman" w:hAnsi="Times New Roman" w:cs="Times New Roman"/>
          <w:b w:val="0"/>
          <w:bCs w:val="0"/>
        </w:rPr>
      </w:pPr>
      <w:bookmarkStart w:id="7" w:name="_Toc236915374"/>
      <w:r>
        <w:rPr>
          <w:rFonts w:ascii="Times New Roman" w:hAnsi="Times New Roman" w:cs="Times New Roman"/>
          <w:b w:val="0"/>
          <w:bCs w:val="0"/>
        </w:rPr>
        <w:t>（二）建设目标体系</w:t>
      </w:r>
      <w:bookmarkEnd w:id="7"/>
    </w:p>
    <w:p w14:paraId="590BE81F">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“十五五”期末，城市建成区80%以上区域年径流总量控制率＞70%，年SS总量去除率＞49%。</w:t>
      </w:r>
    </w:p>
    <w:p w14:paraId="38D4C95A">
      <w:pPr>
        <w:pStyle w:val="3"/>
        <w:keepNext w:val="0"/>
        <w:keepLines w:val="0"/>
        <w:spacing w:before="0" w:after="0" w:line="560" w:lineRule="exact"/>
        <w:ind w:firstLine="643"/>
        <w:rPr>
          <w:rFonts w:ascii="Times New Roman" w:hAnsi="Times New Roman" w:cs="Times New Roman"/>
          <w:b w:val="0"/>
          <w:bCs w:val="0"/>
        </w:rPr>
      </w:pPr>
      <w:bookmarkStart w:id="8" w:name="_Toc236915375"/>
      <w:r>
        <w:rPr>
          <w:rFonts w:ascii="Times New Roman" w:hAnsi="Times New Roman" w:cs="Times New Roman"/>
          <w:b w:val="0"/>
          <w:bCs w:val="0"/>
        </w:rPr>
        <w:t>（三）总体思路与策略</w:t>
      </w:r>
      <w:bookmarkEnd w:id="8"/>
    </w:p>
    <w:p w14:paraId="563D49B3">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苏州是天然的海绵体，生态本底条件良好，解决水系统问题上侧重以灰色设施解决为主，且水环境问题较为突出。针对苏州市的生态特点和突出问题，编制重点应围绕水环境整体改善，兼顾水生态修复和水文化传承，提出以“净化、蓄滞”为主，兼顾“渗、用、排”等功能需求的海绵城市建设主体思路。编制内容分为不同深度的三个层次：</w:t>
      </w:r>
    </w:p>
    <w:p w14:paraId="0841473A">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第一个层次，苏州市域层面基于河湖水系的生态敏感区划定及</w:t>
      </w:r>
      <w:bookmarkStart w:id="9" w:name="OLE_LINK3"/>
      <w:r>
        <w:rPr>
          <w:rFonts w:ascii="Times New Roman" w:hAnsi="Times New Roman" w:eastAsia="仿宋_GB2312" w:cs="Times New Roman"/>
          <w:b w:val="0"/>
          <w:bCs w:val="0"/>
          <w:snapToGrid w:val="0"/>
          <w:spacing w:val="-6"/>
          <w:kern w:val="0"/>
          <w:sz w:val="32"/>
          <w:szCs w:val="32"/>
        </w:rPr>
        <w:t>生态安全格局构建</w:t>
      </w:r>
      <w:bookmarkEnd w:id="9"/>
      <w:r>
        <w:rPr>
          <w:rFonts w:ascii="Times New Roman" w:hAnsi="Times New Roman" w:eastAsia="仿宋_GB2312" w:cs="Times New Roman"/>
          <w:b w:val="0"/>
          <w:bCs w:val="0"/>
          <w:snapToGrid w:val="0"/>
          <w:spacing w:val="-6"/>
          <w:kern w:val="0"/>
          <w:sz w:val="32"/>
          <w:szCs w:val="32"/>
        </w:rPr>
        <w:t>，围绕市域范围内生态廊道、多样化生态敏感区、生态斑块的保护和海绵城市连片建设区范围内公共空间的建设实施。</w:t>
      </w:r>
    </w:p>
    <w:p w14:paraId="4B561E76">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第二个层次，苏州市区层面构建市区生态安全格局、统筹布置公共海绵设施；从源头减排、过程控制、末端处理的全过程进行系统方案构建，实现径流控制和污染控制双重功能；划定市区汇水分区，提出分区建设管控指标；针对不同类型用地，提出海绵设施选择和建设指引。</w:t>
      </w:r>
    </w:p>
    <w:p w14:paraId="41DB7D05">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第三个层次，重点地区层面以消除内涝风险、改善水质为目标，通过与道路竖向专业协调、调整水系断面、调节雨水管网、调整低影响开发设施布置等措施，同步实现年径流污染控制与年径流总量控制率指标。</w:t>
      </w:r>
    </w:p>
    <w:p w14:paraId="1C57EEBA">
      <w:pPr>
        <w:pStyle w:val="2"/>
        <w:keepNext w:val="0"/>
        <w:keepLines w:val="0"/>
        <w:spacing w:before="0" w:after="0" w:line="560" w:lineRule="exact"/>
        <w:ind w:firstLine="640"/>
        <w:rPr>
          <w:rFonts w:ascii="Times New Roman" w:hAnsi="Times New Roman"/>
          <w:b w:val="0"/>
          <w:bCs w:val="0"/>
        </w:rPr>
      </w:pPr>
      <w:bookmarkStart w:id="10" w:name="_Toc236915376"/>
      <w:r>
        <w:rPr>
          <w:rFonts w:ascii="Times New Roman" w:hAnsi="Times New Roman"/>
          <w:b w:val="0"/>
          <w:bCs w:val="0"/>
        </w:rPr>
        <w:t>三、海绵城市建设全域谋划</w:t>
      </w:r>
      <w:bookmarkEnd w:id="10"/>
    </w:p>
    <w:p w14:paraId="746E1B1A">
      <w:pPr>
        <w:pStyle w:val="3"/>
        <w:keepNext w:val="0"/>
        <w:keepLines w:val="0"/>
        <w:spacing w:before="0" w:after="0" w:line="560" w:lineRule="exact"/>
        <w:ind w:firstLine="643"/>
        <w:rPr>
          <w:rFonts w:ascii="Times New Roman" w:hAnsi="Times New Roman" w:cs="Times New Roman"/>
          <w:b w:val="0"/>
          <w:bCs w:val="0"/>
        </w:rPr>
      </w:pPr>
      <w:bookmarkStart w:id="11" w:name="_Toc236915377"/>
      <w:bookmarkStart w:id="12" w:name="OLE_LINK4"/>
      <w:r>
        <w:rPr>
          <w:rFonts w:ascii="Times New Roman" w:hAnsi="Times New Roman" w:cs="Times New Roman"/>
          <w:b w:val="0"/>
          <w:bCs w:val="0"/>
        </w:rPr>
        <w:t>（一）市域生态安全格局</w:t>
      </w:r>
      <w:bookmarkEnd w:id="11"/>
      <w:bookmarkEnd w:id="12"/>
    </w:p>
    <w:p w14:paraId="3F12A3DD">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市域构建“一核、两带、多廊、多点”的生态空间格局，落实区域生态保护要求，保护江南水乡生态安全。“一核”指太湖生态核。“两带”指市域南部水乡湿地生态带和沿长江田园生态带。“多廊”指依托大运河、吴淞江、望虞河、太浦河等主要河流形成的联系长江、太湖、东海等重要水体的生态走廊。“多点”指市域内阳澄湖、淀山湖、虞山、穹窿山等重要生态斑块。</w:t>
      </w:r>
    </w:p>
    <w:p w14:paraId="49253305">
      <w:pPr>
        <w:pStyle w:val="3"/>
        <w:keepNext w:val="0"/>
        <w:keepLines w:val="0"/>
        <w:spacing w:before="0" w:after="0" w:line="560" w:lineRule="exact"/>
        <w:ind w:firstLine="643"/>
        <w:rPr>
          <w:rFonts w:ascii="Times New Roman" w:hAnsi="Times New Roman" w:cs="Times New Roman"/>
          <w:b w:val="0"/>
          <w:bCs w:val="0"/>
        </w:rPr>
      </w:pPr>
      <w:bookmarkStart w:id="13" w:name="_Toc236915378"/>
      <w:r>
        <w:rPr>
          <w:rFonts w:ascii="Times New Roman" w:hAnsi="Times New Roman" w:cs="Times New Roman"/>
          <w:b w:val="0"/>
          <w:bCs w:val="0"/>
        </w:rPr>
        <w:t>（二）市区生态安全格局</w:t>
      </w:r>
      <w:bookmarkEnd w:id="13"/>
    </w:p>
    <w:p w14:paraId="33232993">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市区延续“四角山水”传统格局，构建“北城市南湿地、四环四楔”的生态安全格局。“北城市南湿地”指北部城市和南部水乡湿地城野相映的格局。“四环四楔”指在城市内和周边形成的串联自然山水和建成空间的生态廊道，包括四角山水绿楔和城市公园四环。</w:t>
      </w:r>
    </w:p>
    <w:p w14:paraId="66FEAF50">
      <w:pPr>
        <w:pStyle w:val="3"/>
        <w:keepNext w:val="0"/>
        <w:keepLines w:val="0"/>
        <w:spacing w:before="0" w:after="0" w:line="560" w:lineRule="exact"/>
        <w:ind w:firstLine="643"/>
        <w:rPr>
          <w:rFonts w:ascii="Times New Roman" w:hAnsi="Times New Roman" w:cs="Times New Roman"/>
          <w:b w:val="0"/>
          <w:bCs w:val="0"/>
        </w:rPr>
      </w:pPr>
      <w:bookmarkStart w:id="14" w:name="_Toc236915379"/>
      <w:bookmarkStart w:id="15" w:name="OLE_LINK5"/>
      <w:r>
        <w:rPr>
          <w:rFonts w:ascii="Times New Roman" w:hAnsi="Times New Roman" w:cs="Times New Roman"/>
          <w:b w:val="0"/>
          <w:bCs w:val="0"/>
        </w:rPr>
        <w:t>（三）市区公共海绵设施格局</w:t>
      </w:r>
      <w:bookmarkEnd w:id="14"/>
    </w:p>
    <w:p w14:paraId="539871C5">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市区内统筹布置河道、湖泊、人工湿地、自然湿地及生物滞留池等公共海绵设施。河道、湖泊作为城市水系骨架，承担行洪排涝、水量调蓄及生态景观等综合功能；人工湿地结合污水处理厂设置，用于深度处理尾水，削减入河污染负荷，改善城市水环境；自然湿地与生物滞留池则作为排水分区末端治理设施，协同实现径流总量控制与污染物削减的双重目标。</w:t>
      </w:r>
    </w:p>
    <w:bookmarkEnd w:id="15"/>
    <w:p w14:paraId="1A516703">
      <w:pPr>
        <w:pStyle w:val="2"/>
        <w:keepNext w:val="0"/>
        <w:keepLines w:val="0"/>
        <w:spacing w:before="0" w:after="0" w:line="560" w:lineRule="exact"/>
        <w:ind w:firstLine="640"/>
        <w:rPr>
          <w:rFonts w:ascii="Times New Roman" w:hAnsi="Times New Roman"/>
          <w:b w:val="0"/>
          <w:bCs w:val="0"/>
        </w:rPr>
      </w:pPr>
      <w:bookmarkStart w:id="16" w:name="_Toc236915380"/>
      <w:r>
        <w:rPr>
          <w:rFonts w:ascii="Times New Roman" w:hAnsi="Times New Roman"/>
          <w:b w:val="0"/>
          <w:bCs w:val="0"/>
        </w:rPr>
        <w:t>四、海绵城市建设系统施策</w:t>
      </w:r>
      <w:bookmarkEnd w:id="16"/>
    </w:p>
    <w:p w14:paraId="3FE9ACC4">
      <w:pPr>
        <w:pStyle w:val="3"/>
        <w:keepNext w:val="0"/>
        <w:keepLines w:val="0"/>
        <w:spacing w:before="0" w:after="0" w:line="560" w:lineRule="exact"/>
        <w:ind w:firstLine="643"/>
        <w:rPr>
          <w:rFonts w:ascii="Times New Roman" w:hAnsi="Times New Roman" w:cs="Times New Roman"/>
          <w:b w:val="0"/>
          <w:bCs w:val="0"/>
        </w:rPr>
      </w:pPr>
      <w:bookmarkStart w:id="17" w:name="_Toc236915381"/>
      <w:r>
        <w:rPr>
          <w:rFonts w:ascii="Times New Roman" w:hAnsi="Times New Roman" w:cs="Times New Roman"/>
          <w:b w:val="0"/>
          <w:bCs w:val="0"/>
        </w:rPr>
        <w:t>（一）水环境提升</w:t>
      </w:r>
      <w:bookmarkEnd w:id="17"/>
    </w:p>
    <w:p w14:paraId="0295AA68">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在流域、区域层面进行综合治理，减少上游污染输入。流域层面推进以“控磷降氮、水生态保护”为主导方向的太湖水环境治理，对阳澄湖周边区域进行环境整治和相关污染企业专项整治，建立长江水污染防治统筹协作机制。区域层面结合当地污染现状，持续加强工业和生活污染源治理，进行污染源控制。通过海绵城市建设，从源头到末端，逐级消纳净化雨水，控制初期雨水径流污染。</w:t>
      </w:r>
    </w:p>
    <w:p w14:paraId="42B70B08">
      <w:pPr>
        <w:pStyle w:val="3"/>
        <w:keepNext w:val="0"/>
        <w:keepLines w:val="0"/>
        <w:spacing w:before="0" w:after="0" w:line="560" w:lineRule="exact"/>
        <w:ind w:firstLine="643"/>
        <w:rPr>
          <w:rFonts w:ascii="Times New Roman" w:hAnsi="Times New Roman" w:cs="Times New Roman"/>
          <w:b w:val="0"/>
          <w:bCs w:val="0"/>
        </w:rPr>
      </w:pPr>
      <w:bookmarkStart w:id="18" w:name="_Toc236915382"/>
      <w:r>
        <w:rPr>
          <w:rFonts w:ascii="Times New Roman" w:hAnsi="Times New Roman" w:cs="Times New Roman"/>
          <w:b w:val="0"/>
          <w:bCs w:val="0"/>
        </w:rPr>
        <w:t>（二）水生态修复</w:t>
      </w:r>
      <w:bookmarkEnd w:id="18"/>
    </w:p>
    <w:p w14:paraId="032F150B">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依据《苏州市河道管理条例》加强河道管理，注重河道历史传承和水生态的保护、恢复。历史城区内河流岸线应在侧重其历史风貌保护的前提下进行局部生态改造，其他区域的硬质岸线则应因地制宜利用不同方式改善岸线的自然生态性。植被缓冲带选用乡土植物或已适应本地气候条件的外来植物，在河道内增设曝气设施，设置生态浮床，重建并恢复水生态系统。构建城市通风廊道，通过降低建筑密度、拉大建筑的间距等建筑层面控制措施，促进城市的空气流通，起到降温排热作用。</w:t>
      </w:r>
    </w:p>
    <w:p w14:paraId="4046F707">
      <w:pPr>
        <w:pStyle w:val="3"/>
        <w:keepNext w:val="0"/>
        <w:keepLines w:val="0"/>
        <w:spacing w:before="0" w:after="0" w:line="560" w:lineRule="exact"/>
        <w:ind w:firstLine="643"/>
        <w:rPr>
          <w:rFonts w:ascii="Times New Roman" w:hAnsi="Times New Roman" w:cs="Times New Roman"/>
          <w:b w:val="0"/>
          <w:bCs w:val="0"/>
        </w:rPr>
      </w:pPr>
      <w:bookmarkStart w:id="19" w:name="_Toc236915383"/>
      <w:r>
        <w:rPr>
          <w:rFonts w:ascii="Times New Roman" w:hAnsi="Times New Roman" w:cs="Times New Roman"/>
          <w:b w:val="0"/>
          <w:bCs w:val="0"/>
        </w:rPr>
        <w:t>（三）水安全保障</w:t>
      </w:r>
      <w:bookmarkEnd w:id="19"/>
    </w:p>
    <w:p w14:paraId="7D7F8B94">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落实太湖流域、京杭运河的区域防洪工程布局，坚守环太湖、京杭运河和吴淞江三条重要防洪控制线，充分发挥城区阳澄湖、金鸡湖、独墅湖、石湖等重要湖泊洪涝调蓄作用。遵循“源头削减、中途滞蓄、末端强排”的内涝防治思路，通过增加生物滞留设施、可渗透路面、绿色屋顶等的建设，降低城市产流量和汇流速度，分散布设雨水滞留塘等雨水调蓄设施，滞蓄部分来不及排的雨水，增大雨水排水系统排水能力，同时结合城市水系调控和排涝工程，及时排除城市涝水。防治具体措施包括：整治河道水系，打通断头浜，提高水系滞蓄能力；提标改造雨水管道及雨水提升泵站；建设地面快速排水通道，使城市易涝路面涝水汇流后直接就近排入河道。</w:t>
      </w:r>
    </w:p>
    <w:p w14:paraId="211A9AEA">
      <w:pPr>
        <w:pStyle w:val="3"/>
        <w:keepNext w:val="0"/>
        <w:keepLines w:val="0"/>
        <w:spacing w:before="0" w:after="0" w:line="560" w:lineRule="exact"/>
        <w:ind w:firstLine="643"/>
        <w:rPr>
          <w:rFonts w:ascii="Times New Roman" w:hAnsi="Times New Roman" w:cs="Times New Roman"/>
          <w:b w:val="0"/>
          <w:bCs w:val="0"/>
        </w:rPr>
      </w:pPr>
      <w:bookmarkStart w:id="20" w:name="_Toc236915384"/>
      <w:r>
        <w:rPr>
          <w:rFonts w:ascii="Times New Roman" w:hAnsi="Times New Roman" w:cs="Times New Roman"/>
          <w:b w:val="0"/>
          <w:bCs w:val="0"/>
        </w:rPr>
        <w:t>（四）水资源利用</w:t>
      </w:r>
      <w:bookmarkEnd w:id="20"/>
    </w:p>
    <w:p w14:paraId="14B5B716">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节水优先、治污为本、多渠道开源，加大非常规水源的开发利用程度。规划用地面积2万平方米以上的新建建筑配套建设雨水利用设施，建筑面积3万平方米以上的宾馆、饭店以及建筑面积10万平方米以上的校园、居住区及其它民用建筑配套建设中水或者雨水利用设施。每1万平方米建设用地宜建设不小于100立方米的雨水调蓄池，路幅超过70米的道路两侧逐步配套建设雨水蓄水设施。景观用水水源不得采用自来水，逐步禁止绿化、环卫等使用自来水。</w:t>
      </w:r>
    </w:p>
    <w:p w14:paraId="1A3D83B0">
      <w:pPr>
        <w:pStyle w:val="3"/>
        <w:keepNext w:val="0"/>
        <w:keepLines w:val="0"/>
        <w:spacing w:before="0" w:after="0" w:line="560" w:lineRule="exact"/>
        <w:ind w:firstLine="643"/>
        <w:rPr>
          <w:rFonts w:ascii="Times New Roman" w:hAnsi="Times New Roman" w:cs="Times New Roman"/>
          <w:b w:val="0"/>
          <w:bCs w:val="0"/>
        </w:rPr>
      </w:pPr>
      <w:bookmarkStart w:id="21" w:name="_Toc236915385"/>
      <w:r>
        <w:rPr>
          <w:rFonts w:ascii="Times New Roman" w:hAnsi="Times New Roman" w:cs="Times New Roman"/>
          <w:b w:val="0"/>
          <w:bCs w:val="0"/>
        </w:rPr>
        <w:t>（五）水文化传承</w:t>
      </w:r>
      <w:bookmarkEnd w:id="21"/>
    </w:p>
    <w:p w14:paraId="44F1AF5C">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围绕“一核、一带、两片、多斑、多点”开展文化建设工程，彰显水文化内涵。“一核”指以太湖以及湖中岛屿湖边湿地为生态核心。“一带”指大运河文化带，以“运河十景”带动大运河全面保护建设。“两片”指以苏州历史城区保护区和海绵城市省级试点区建设水文化集中展示区。“多斑”指沿阳澄湖、金鸡湖、独墅湖、澄湖、石湖等湖泊的生态斑块打造的水文化景观。“多点”指结合水文化遗产和海绵设施打造的水文化景观。</w:t>
      </w:r>
    </w:p>
    <w:p w14:paraId="06E12DA6">
      <w:pPr>
        <w:pStyle w:val="2"/>
        <w:keepNext w:val="0"/>
        <w:keepLines w:val="0"/>
        <w:spacing w:before="0" w:after="0" w:line="560" w:lineRule="exact"/>
        <w:ind w:firstLine="640"/>
        <w:rPr>
          <w:rFonts w:ascii="Times New Roman" w:hAnsi="Times New Roman"/>
          <w:b w:val="0"/>
          <w:bCs w:val="0"/>
        </w:rPr>
      </w:pPr>
      <w:bookmarkStart w:id="22" w:name="_Toc236915386"/>
      <w:bookmarkStart w:id="23" w:name="OLE_LINK1"/>
      <w:r>
        <w:rPr>
          <w:rFonts w:ascii="Times New Roman" w:hAnsi="Times New Roman"/>
          <w:b w:val="0"/>
          <w:bCs w:val="0"/>
        </w:rPr>
        <w:t>五、海绵城市分区建设方案</w:t>
      </w:r>
      <w:bookmarkEnd w:id="22"/>
    </w:p>
    <w:bookmarkEnd w:id="23"/>
    <w:p w14:paraId="07A0E8E3">
      <w:pPr>
        <w:pStyle w:val="3"/>
        <w:keepNext w:val="0"/>
        <w:keepLines w:val="0"/>
        <w:spacing w:before="0" w:after="0" w:line="560" w:lineRule="exact"/>
        <w:ind w:firstLine="643"/>
        <w:rPr>
          <w:rFonts w:ascii="Times New Roman" w:hAnsi="Times New Roman" w:cs="Times New Roman"/>
          <w:b w:val="0"/>
          <w:bCs w:val="0"/>
        </w:rPr>
      </w:pPr>
      <w:bookmarkStart w:id="24" w:name="_Toc461430231"/>
      <w:bookmarkStart w:id="25" w:name="_Toc236915387"/>
      <w:bookmarkStart w:id="26" w:name="_Toc69978127"/>
      <w:r>
        <w:rPr>
          <w:rFonts w:ascii="Times New Roman" w:hAnsi="Times New Roman" w:cs="Times New Roman"/>
          <w:b w:val="0"/>
          <w:bCs w:val="0"/>
        </w:rPr>
        <w:t>（一）管控分区划定</w:t>
      </w:r>
      <w:bookmarkEnd w:id="24"/>
      <w:bookmarkEnd w:id="25"/>
      <w:bookmarkEnd w:id="26"/>
    </w:p>
    <w:p w14:paraId="43130D0E">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为便于海绵城市建设管理，划分为两大体系，即海绵城市连片建设区及外围城镇建设区，其中将海绵城市连片建设区划分为三级分区。一级分区结合按照圩区和自排区划定</w:t>
      </w:r>
      <w:r>
        <w:rPr>
          <w:rFonts w:hint="eastAsia" w:ascii="Times New Roman" w:hAnsi="Times New Roman" w:eastAsia="仿宋_GB2312" w:cs="Times New Roman"/>
          <w:b w:val="0"/>
          <w:bCs w:val="0"/>
          <w:snapToGrid w:val="0"/>
          <w:spacing w:val="-6"/>
          <w:kern w:val="0"/>
          <w:sz w:val="32"/>
          <w:szCs w:val="32"/>
        </w:rPr>
        <w:t>，</w:t>
      </w:r>
      <w:r>
        <w:rPr>
          <w:rFonts w:ascii="Times New Roman" w:hAnsi="Times New Roman" w:eastAsia="仿宋_GB2312" w:cs="Times New Roman"/>
          <w:b w:val="0"/>
          <w:bCs w:val="0"/>
          <w:snapToGrid w:val="0"/>
          <w:spacing w:val="-6"/>
          <w:kern w:val="0"/>
          <w:sz w:val="32"/>
          <w:szCs w:val="32"/>
        </w:rPr>
        <w:t>共划分为74个一级管控分区；二级分区在一级分区的基础上，</w:t>
      </w:r>
      <w:r>
        <w:rPr>
          <w:rFonts w:hint="eastAsia" w:ascii="Times New Roman" w:hAnsi="Times New Roman" w:eastAsia="仿宋_GB2312" w:cs="Times New Roman"/>
          <w:b w:val="0"/>
          <w:bCs w:val="0"/>
          <w:snapToGrid w:val="0"/>
          <w:spacing w:val="-6"/>
          <w:kern w:val="0"/>
          <w:sz w:val="32"/>
          <w:szCs w:val="32"/>
        </w:rPr>
        <w:t>依据</w:t>
      </w:r>
      <w:r>
        <w:rPr>
          <w:rFonts w:ascii="Times New Roman" w:hAnsi="Times New Roman" w:eastAsia="仿宋_GB2312" w:cs="Times New Roman"/>
          <w:b w:val="0"/>
          <w:bCs w:val="0"/>
          <w:snapToGrid w:val="0"/>
          <w:spacing w:val="-6"/>
          <w:kern w:val="0"/>
          <w:sz w:val="32"/>
          <w:szCs w:val="32"/>
        </w:rPr>
        <w:t>雨水排水管网划分排水分区，并结合详细规划</w:t>
      </w:r>
      <w:r>
        <w:rPr>
          <w:rFonts w:hint="eastAsia" w:ascii="Times New Roman" w:hAnsi="Times New Roman" w:eastAsia="仿宋_GB2312" w:cs="Times New Roman"/>
          <w:b w:val="0"/>
          <w:bCs w:val="0"/>
          <w:snapToGrid w:val="0"/>
          <w:spacing w:val="-6"/>
          <w:kern w:val="0"/>
          <w:sz w:val="32"/>
          <w:szCs w:val="32"/>
        </w:rPr>
        <w:t>单元范围</w:t>
      </w:r>
      <w:r>
        <w:rPr>
          <w:rFonts w:ascii="Times New Roman" w:hAnsi="Times New Roman" w:eastAsia="仿宋_GB2312" w:cs="Times New Roman"/>
          <w:b w:val="0"/>
          <w:bCs w:val="0"/>
          <w:snapToGrid w:val="0"/>
          <w:spacing w:val="-6"/>
          <w:kern w:val="0"/>
          <w:sz w:val="32"/>
          <w:szCs w:val="32"/>
        </w:rPr>
        <w:t>微调</w:t>
      </w:r>
      <w:r>
        <w:rPr>
          <w:rFonts w:hint="eastAsia" w:ascii="Times New Roman" w:hAnsi="Times New Roman" w:eastAsia="仿宋_GB2312" w:cs="Times New Roman"/>
          <w:b w:val="0"/>
          <w:bCs w:val="0"/>
          <w:snapToGrid w:val="0"/>
          <w:spacing w:val="-6"/>
          <w:kern w:val="0"/>
          <w:sz w:val="32"/>
          <w:szCs w:val="32"/>
        </w:rPr>
        <w:t>，共划分为277个二级分区</w:t>
      </w:r>
      <w:r>
        <w:rPr>
          <w:rFonts w:ascii="Times New Roman" w:hAnsi="Times New Roman" w:eastAsia="仿宋_GB2312" w:cs="Times New Roman"/>
          <w:b w:val="0"/>
          <w:bCs w:val="0"/>
          <w:snapToGrid w:val="0"/>
          <w:spacing w:val="-6"/>
          <w:kern w:val="0"/>
          <w:sz w:val="32"/>
          <w:szCs w:val="32"/>
        </w:rPr>
        <w:t>；三级分区落实到地块，提出各地块和道路管控指标</w:t>
      </w:r>
      <w:r>
        <w:rPr>
          <w:rFonts w:hint="eastAsia" w:ascii="Times New Roman" w:hAnsi="Times New Roman" w:eastAsia="仿宋_GB2312" w:cs="Times New Roman"/>
          <w:b w:val="0"/>
          <w:bCs w:val="0"/>
          <w:snapToGrid w:val="0"/>
          <w:spacing w:val="-6"/>
          <w:kern w:val="0"/>
          <w:sz w:val="32"/>
          <w:szCs w:val="32"/>
        </w:rPr>
        <w:t>指引</w:t>
      </w:r>
      <w:r>
        <w:rPr>
          <w:rFonts w:ascii="Times New Roman" w:hAnsi="Times New Roman" w:eastAsia="仿宋_GB2312" w:cs="Times New Roman"/>
          <w:b w:val="0"/>
          <w:bCs w:val="0"/>
          <w:snapToGrid w:val="0"/>
          <w:spacing w:val="-6"/>
          <w:kern w:val="0"/>
          <w:sz w:val="32"/>
          <w:szCs w:val="32"/>
        </w:rPr>
        <w:t>。</w:t>
      </w:r>
    </w:p>
    <w:p w14:paraId="12A5D0F7">
      <w:pPr>
        <w:pStyle w:val="3"/>
        <w:keepNext w:val="0"/>
        <w:keepLines w:val="0"/>
        <w:spacing w:before="0" w:after="0" w:line="560" w:lineRule="exact"/>
        <w:ind w:firstLine="643"/>
        <w:rPr>
          <w:rFonts w:ascii="Times New Roman" w:hAnsi="Times New Roman" w:cs="Times New Roman"/>
          <w:b w:val="0"/>
          <w:bCs w:val="0"/>
        </w:rPr>
      </w:pPr>
      <w:bookmarkStart w:id="27" w:name="_Toc236915388"/>
      <w:r>
        <w:rPr>
          <w:rFonts w:ascii="Times New Roman" w:hAnsi="Times New Roman" w:cs="Times New Roman"/>
          <w:b w:val="0"/>
          <w:bCs w:val="0"/>
        </w:rPr>
        <w:t>（二）管控指标</w:t>
      </w:r>
      <w:bookmarkEnd w:id="27"/>
    </w:p>
    <w:p w14:paraId="7E4E56CA">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一级分区将年径流总量控制率、年SS总量去除率目标进行分解，二级分区将年径流总量控制率、年SS总量去除率目标进行分解，三级分区将管控指标落实到各地块，提出各类用地的年径流总量控制率、综合径流系数、SS去除率、透水铺装率、下沉式绿地率、绿色屋顶率作为指标引导。</w:t>
      </w:r>
    </w:p>
    <w:p w14:paraId="1E647307">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一级分区管控指标详见附图一和附图二。二级分区管控指标详见附图三和附图四。地块及道路管控指标详见附图五。在地块用地面积小于1公顷、工业用地绿地率不足、改造项目建设条件受限等情况下，可适当放宽约束性指标要求。工业用地绿地率≤10%时，综合径流系数控制放宽至0.7。</w:t>
      </w:r>
    </w:p>
    <w:p w14:paraId="0E9D9FE6">
      <w:pPr>
        <w:pStyle w:val="3"/>
        <w:keepNext w:val="0"/>
        <w:keepLines w:val="0"/>
        <w:spacing w:before="0" w:after="0" w:line="560" w:lineRule="exact"/>
        <w:ind w:firstLine="643"/>
        <w:rPr>
          <w:rFonts w:ascii="Times New Roman" w:hAnsi="Times New Roman" w:cs="Times New Roman"/>
          <w:b w:val="0"/>
          <w:bCs w:val="0"/>
        </w:rPr>
      </w:pPr>
      <w:bookmarkStart w:id="28" w:name="_Toc236915389"/>
      <w:r>
        <w:rPr>
          <w:rFonts w:ascii="Times New Roman" w:hAnsi="Times New Roman" w:cs="Times New Roman"/>
          <w:b w:val="0"/>
          <w:bCs w:val="0"/>
        </w:rPr>
        <w:t>（三）建设方式指引</w:t>
      </w:r>
      <w:bookmarkEnd w:id="28"/>
    </w:p>
    <w:p w14:paraId="500BF18D">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河湖水系生态修复：恢复和建设河道自然形态，在满足相关规划情况下，宜依据现有河势走向，保留及恢复河道的自然弯曲形态；恢复和建设植被缓冲带，综合考虑防汛通道、慢行道、游步道、休憩广场、亲水平台等功能设施的布置要求，重点针对径流污染严重的区域和入河雨水管网附近，科学设置植被缓冲带；恢复和建设河流生态型护岸，根据不同河段的具体情况设置不同的生态型护岸。</w:t>
      </w:r>
    </w:p>
    <w:p w14:paraId="753E947F">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海绵型公园与绿地：借鉴苏州传统园林设计手法，对苏州特色的园林绿地提出具有针对性的建设方式。苏州的海绵型公园建设要合理协调海绵设施建设及场地文化、历史名木保护等，可大力推进小型公园绿地的海绵化。注重内外联动，外部要考虑雨水花园、湿塘沟渠等与城市水系、河道的相互连通，同时要考虑海绵型公园绿地与外部城市区域中间的灰色地带，使公园绿地内部的集水、蓄水、排水设施与市政管网设施进行衔接。</w:t>
      </w:r>
    </w:p>
    <w:p w14:paraId="7CD3CA03">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海绵型道路</w:t>
      </w:r>
      <w:bookmarkStart w:id="34" w:name="_GoBack"/>
      <w:bookmarkEnd w:id="34"/>
      <w:r>
        <w:rPr>
          <w:rFonts w:ascii="Times New Roman" w:hAnsi="Times New Roman" w:eastAsia="仿宋_GB2312" w:cs="Times New Roman"/>
          <w:b w:val="0"/>
          <w:bCs w:val="0"/>
          <w:snapToGrid w:val="0"/>
          <w:spacing w:val="-6"/>
          <w:kern w:val="0"/>
          <w:sz w:val="32"/>
          <w:szCs w:val="32"/>
        </w:rPr>
        <w:t>与广场：新建区域内干道两侧均需规划预留沿街绿地，新建道路雨水径流可通过降低绿化带标高、增加路缘石开口等方式引入绿化带，绿化带内应设置海绵设施净化、消纳雨水径流；高架道路雨水宜通过落水管汇入中央绿化带；人行道、专用非机动车道和轻型荷载道路，宜采用透水铺装；高架道路、景观车行道路宜采用透水沥青铺装，并设置边缘排水系统。道路整体改建项目按照新建项目标准；海绵设施改造项目，对现状有路侧绿地的道路，先改造人行道横坡使人行道雨水径流进入路侧绿地内，对现状无路侧绿地的道路逐步改造车行道、人行道横坡和绿化带。在地质条件允许时，广场应采用透水铺装；广场树池应采用生态树池；当广场有水景需求时，宜结合雨水储存设施共同设计；当广场位于地下空间上方时，设施必须做防渗处理；位于城市易涝点的广场，在满足自身功能的前提下，宜设计为下沉式。</w:t>
      </w:r>
    </w:p>
    <w:p w14:paraId="63F9DB49">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海绵型建筑与小区：小区场地海绵性设计应结合现状地形，因地制宜地进行，优化不透水硬化面与绿地空间布局，建筑、广场、道路周边宜布置可消纳径流雨水的绿地；绿地宜采用可用于滞留雨水的下凹式绿地、生态滞留池、雨水罐、蓄水池、雨水花园、雨水湿地；非机动车道路、人行道、游步道、广场、露天停车场、庭院必须采用透水铺装地面，超渗雨水应集中引入周边雨水滞留设施中；屋顶绿化建议优先用于学校、医院等公共建筑屋顶，改造建筑与小区可根据建筑条件考虑采用屋顶绿化；对于存在水污染风险的工业企业应建设初期雨水弃流设施或雨水沉淀池，进行处理达标后方可排放。</w:t>
      </w:r>
    </w:p>
    <w:p w14:paraId="035E65A7">
      <w:pPr>
        <w:pStyle w:val="2"/>
        <w:keepNext w:val="0"/>
        <w:keepLines w:val="0"/>
        <w:spacing w:before="0" w:after="0" w:line="560" w:lineRule="exact"/>
        <w:ind w:firstLine="640"/>
        <w:rPr>
          <w:rFonts w:ascii="Times New Roman" w:hAnsi="Times New Roman"/>
          <w:b w:val="0"/>
          <w:bCs w:val="0"/>
        </w:rPr>
      </w:pPr>
      <w:bookmarkStart w:id="29" w:name="_Toc236915390"/>
      <w:r>
        <w:rPr>
          <w:rFonts w:ascii="Times New Roman" w:hAnsi="Times New Roman"/>
          <w:b w:val="0"/>
          <w:bCs w:val="0"/>
        </w:rPr>
        <w:t>六、海绵城市建设项目管控和管理</w:t>
      </w:r>
      <w:bookmarkEnd w:id="29"/>
    </w:p>
    <w:p w14:paraId="576E5AE2">
      <w:pPr>
        <w:pStyle w:val="3"/>
        <w:keepNext w:val="0"/>
        <w:keepLines w:val="0"/>
        <w:spacing w:before="0" w:after="0" w:line="560" w:lineRule="exact"/>
        <w:ind w:firstLine="643"/>
        <w:rPr>
          <w:rFonts w:ascii="Times New Roman" w:hAnsi="Times New Roman" w:cs="Times New Roman"/>
          <w:b w:val="0"/>
          <w:bCs w:val="0"/>
        </w:rPr>
      </w:pPr>
      <w:bookmarkStart w:id="30" w:name="_Toc236915391"/>
      <w:bookmarkStart w:id="31" w:name="OLE_LINK2"/>
      <w:r>
        <w:rPr>
          <w:rFonts w:ascii="Times New Roman" w:hAnsi="Times New Roman" w:cs="Times New Roman"/>
          <w:b w:val="0"/>
          <w:bCs w:val="0"/>
        </w:rPr>
        <w:t>（一）项目设计</w:t>
      </w:r>
      <w:bookmarkEnd w:id="30"/>
    </w:p>
    <w:bookmarkEnd w:id="31"/>
    <w:p w14:paraId="3FA1782D">
      <w:pPr>
        <w:spacing w:line="560" w:lineRule="exact"/>
        <w:ind w:firstLine="616" w:firstLineChars="200"/>
        <w:rPr>
          <w:rFonts w:ascii="Times New Roman" w:hAnsi="Times New Roman" w:eastAsia="仿宋_GB2312" w:cs="Times New Roman"/>
          <w:b w:val="0"/>
          <w:bCs w:val="0"/>
          <w:snapToGrid w:val="0"/>
          <w:spacing w:val="-6"/>
          <w:kern w:val="0"/>
          <w:sz w:val="32"/>
          <w:szCs w:val="32"/>
        </w:rPr>
      </w:pPr>
      <w:bookmarkStart w:id="32" w:name="OLE_LINK7"/>
      <w:r>
        <w:rPr>
          <w:rFonts w:ascii="Times New Roman" w:hAnsi="Times New Roman" w:eastAsia="仿宋_GB2312" w:cs="Times New Roman"/>
          <w:b w:val="0"/>
          <w:bCs w:val="0"/>
          <w:snapToGrid w:val="0"/>
          <w:spacing w:val="-6"/>
          <w:kern w:val="0"/>
          <w:sz w:val="32"/>
          <w:szCs w:val="32"/>
        </w:rPr>
        <w:t>推动前期设计融合。排水、园林、建筑、道路等专业在设计前期深度融合、全过程协作，优先利用自然地形排水，兼顾经济性与景观协调，避免各专业各自为政、事后补救。</w:t>
      </w:r>
    </w:p>
    <w:p w14:paraId="308C3BA7">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实现多重功能统筹。各类设施在满足自身功能前提下兼顾雨水控制。绿地宜适度承接周边径流，避免一味下沉；建筑小区应配套控排措施，确保内涝重现期下底层不进水并削减峰值流量；道路须保障排水通畅、无积水；缺水地区侧重雨水收集回用，且蓄水设施规模与利用能力匹配。</w:t>
      </w:r>
    </w:p>
    <w:p w14:paraId="0ED93F53">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强化长效运行维护。设施设计应实用简约，降低运维难度与成本，注重适老化和安全防护；在湿陷性黄土或地质灾害易发区布置下渗型设施时，须充分评估地面塌陷风险。</w:t>
      </w:r>
    </w:p>
    <w:bookmarkEnd w:id="32"/>
    <w:p w14:paraId="3F5F1BD5">
      <w:pPr>
        <w:pStyle w:val="3"/>
        <w:keepNext w:val="0"/>
        <w:keepLines w:val="0"/>
        <w:spacing w:before="0" w:after="0" w:line="560" w:lineRule="exact"/>
        <w:ind w:firstLine="643"/>
        <w:rPr>
          <w:rFonts w:ascii="Times New Roman" w:hAnsi="Times New Roman" w:cs="Times New Roman"/>
          <w:b w:val="0"/>
          <w:bCs w:val="0"/>
        </w:rPr>
      </w:pPr>
      <w:bookmarkStart w:id="33" w:name="_Toc236915392"/>
      <w:r>
        <w:rPr>
          <w:rFonts w:ascii="Times New Roman" w:hAnsi="Times New Roman" w:cs="Times New Roman"/>
          <w:b w:val="0"/>
          <w:bCs w:val="0"/>
        </w:rPr>
        <w:t>（二）项目建设和运维管理</w:t>
      </w:r>
      <w:bookmarkEnd w:id="33"/>
    </w:p>
    <w:p w14:paraId="3EBB9B90">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确保全程闭环管控。海绵城市建设投资应实事求是，主体工程投资不得计入其中；设计方案须纳入审查，施工图按强制性标准把关，施工许可及竣工验收环节均将海绵城市相关强制性标准作为重点审查和监督内容。</w:t>
      </w:r>
    </w:p>
    <w:p w14:paraId="3E4BAD58">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严格管理建设过程。建设过程须严格依照设计图纸，落实场地竖向要求，保障雨水汇水连续顺畅，控制水土流失；对地下管网、调蓄设施等隐蔽工程，加强质量检查和施工记录，确保关键环节可追溯。</w:t>
      </w:r>
    </w:p>
    <w:p w14:paraId="377C9219">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ascii="Times New Roman" w:hAnsi="Times New Roman" w:eastAsia="仿宋_GB2312" w:cs="Times New Roman"/>
          <w:b w:val="0"/>
          <w:bCs w:val="0"/>
          <w:snapToGrid w:val="0"/>
          <w:spacing w:val="-6"/>
          <w:kern w:val="0"/>
          <w:sz w:val="32"/>
          <w:szCs w:val="32"/>
        </w:rPr>
        <w:t>明确落实运维责任。海绵设施建成后应明确管护责任主体，落实运行维护资金，确保设施正常发挥功能，严禁擅自拆改或侵占损毁，避免出现责任缺失和资金缺口。</w:t>
      </w:r>
    </w:p>
    <w:p w14:paraId="7D2BAE04">
      <w:pPr>
        <w:pStyle w:val="2"/>
        <w:keepNext w:val="0"/>
        <w:keepLines w:val="0"/>
        <w:spacing w:before="0" w:after="0" w:line="560" w:lineRule="exact"/>
        <w:ind w:firstLine="640"/>
        <w:rPr>
          <w:rFonts w:ascii="Times New Roman" w:hAnsi="Times New Roman"/>
          <w:b w:val="0"/>
          <w:bCs w:val="0"/>
        </w:rPr>
      </w:pPr>
      <w:r>
        <w:rPr>
          <w:rFonts w:hint="eastAsia" w:ascii="Times New Roman" w:hAnsi="Times New Roman"/>
          <w:b w:val="0"/>
          <w:bCs w:val="0"/>
        </w:rPr>
        <w:t>七</w:t>
      </w:r>
      <w:r>
        <w:rPr>
          <w:rFonts w:ascii="Times New Roman" w:hAnsi="Times New Roman"/>
          <w:b w:val="0"/>
          <w:bCs w:val="0"/>
        </w:rPr>
        <w:t>、</w:t>
      </w:r>
      <w:r>
        <w:rPr>
          <w:rFonts w:hint="eastAsia" w:ascii="Times New Roman" w:hAnsi="Times New Roman"/>
          <w:b w:val="0"/>
          <w:bCs w:val="0"/>
        </w:rPr>
        <w:t>保障措施</w:t>
      </w:r>
    </w:p>
    <w:p w14:paraId="4E75BD8A">
      <w:pPr>
        <w:pStyle w:val="3"/>
        <w:keepNext w:val="0"/>
        <w:keepLines w:val="0"/>
        <w:spacing w:before="0" w:after="0" w:line="560" w:lineRule="exact"/>
        <w:ind w:firstLine="643"/>
        <w:rPr>
          <w:rFonts w:ascii="Times New Roman" w:hAnsi="Times New Roman" w:cs="Times New Roman"/>
          <w:b w:val="0"/>
          <w:bCs w:val="0"/>
        </w:rPr>
      </w:pPr>
      <w:r>
        <w:rPr>
          <w:rFonts w:hint="eastAsia" w:ascii="Times New Roman" w:hAnsi="Times New Roman" w:cs="Times New Roman"/>
          <w:b w:val="0"/>
          <w:bCs w:val="0"/>
        </w:rPr>
        <w:t>（一）健全组织实施机制</w:t>
      </w:r>
    </w:p>
    <w:p w14:paraId="2922F87A">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hint="eastAsia" w:ascii="Times New Roman" w:hAnsi="Times New Roman" w:eastAsia="仿宋_GB2312" w:cs="Times New Roman"/>
          <w:b w:val="0"/>
          <w:bCs w:val="0"/>
          <w:snapToGrid w:val="0"/>
          <w:spacing w:val="-6"/>
          <w:kern w:val="0"/>
          <w:sz w:val="32"/>
          <w:szCs w:val="32"/>
        </w:rPr>
        <w:t>构建 “市级统筹、区县主导、部门协同” 工作格局，实行建设任务清单化管理、项目化推进。强化条块联动，压实各方责任，将海绵城市建设目标纳入高质量发展考核，保障落地见效。</w:t>
      </w:r>
    </w:p>
    <w:p w14:paraId="03D275B8">
      <w:pPr>
        <w:pStyle w:val="3"/>
        <w:keepNext w:val="0"/>
        <w:keepLines w:val="0"/>
        <w:spacing w:before="0" w:after="0" w:line="560" w:lineRule="exact"/>
        <w:ind w:firstLine="643"/>
        <w:rPr>
          <w:rFonts w:ascii="Times New Roman" w:hAnsi="Times New Roman" w:cs="Times New Roman"/>
          <w:b w:val="0"/>
          <w:bCs w:val="0"/>
        </w:rPr>
      </w:pPr>
      <w:r>
        <w:rPr>
          <w:rFonts w:hint="eastAsia" w:ascii="Times New Roman" w:hAnsi="Times New Roman" w:cs="Times New Roman"/>
          <w:b w:val="0"/>
          <w:bCs w:val="0"/>
        </w:rPr>
        <w:t>（二）强化空间要素统筹</w:t>
      </w:r>
    </w:p>
    <w:p w14:paraId="029AB9D5">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hint="eastAsia" w:ascii="Times New Roman" w:hAnsi="Times New Roman" w:eastAsia="仿宋_GB2312" w:cs="Times New Roman"/>
          <w:b w:val="0"/>
          <w:bCs w:val="0"/>
          <w:snapToGrid w:val="0"/>
          <w:spacing w:val="-6"/>
          <w:kern w:val="0"/>
          <w:sz w:val="32"/>
          <w:szCs w:val="32"/>
        </w:rPr>
        <w:t>坚持片区系统统筹，各地块设施布局必须服从所在片区的海绵系统方案，因地制宜选择海绵设施，上游地块优先渗滞、下游地块配调蓄池、沿线道路做植草沟转输，尽可能发挥片区内公共海绵设施作用，避免“各地块自建小池、片区整体仍积水”。</w:t>
      </w:r>
    </w:p>
    <w:p w14:paraId="1F6B1ABC">
      <w:pPr>
        <w:pStyle w:val="3"/>
        <w:keepNext w:val="0"/>
        <w:keepLines w:val="0"/>
        <w:spacing w:before="0" w:after="0" w:line="560" w:lineRule="exact"/>
        <w:ind w:firstLine="643"/>
        <w:rPr>
          <w:rFonts w:ascii="Times New Roman" w:hAnsi="Times New Roman" w:cs="Times New Roman"/>
          <w:b w:val="0"/>
          <w:bCs w:val="0"/>
        </w:rPr>
      </w:pPr>
      <w:r>
        <w:rPr>
          <w:rFonts w:hint="eastAsia" w:ascii="Times New Roman" w:hAnsi="Times New Roman" w:cs="Times New Roman"/>
          <w:b w:val="0"/>
          <w:bCs w:val="0"/>
        </w:rPr>
        <w:t>（三）完善建设绩效评估</w:t>
      </w:r>
    </w:p>
    <w:p w14:paraId="0290A7DA">
      <w:pPr>
        <w:spacing w:line="560" w:lineRule="exact"/>
        <w:ind w:firstLine="616" w:firstLineChars="200"/>
        <w:rPr>
          <w:rFonts w:ascii="Times New Roman" w:hAnsi="Times New Roman" w:eastAsia="仿宋_GB2312" w:cs="Times New Roman"/>
          <w:b w:val="0"/>
          <w:bCs w:val="0"/>
          <w:snapToGrid w:val="0"/>
          <w:spacing w:val="-6"/>
          <w:kern w:val="0"/>
          <w:sz w:val="32"/>
          <w:szCs w:val="32"/>
        </w:rPr>
      </w:pPr>
      <w:r>
        <w:rPr>
          <w:rFonts w:hint="eastAsia" w:ascii="Times New Roman" w:hAnsi="Times New Roman" w:eastAsia="仿宋_GB2312" w:cs="Times New Roman"/>
          <w:b w:val="0"/>
          <w:bCs w:val="0"/>
          <w:snapToGrid w:val="0"/>
          <w:spacing w:val="-6"/>
          <w:kern w:val="0"/>
          <w:sz w:val="32"/>
          <w:szCs w:val="32"/>
        </w:rPr>
        <w:t>建立健全海绵城市建设绩效评估机制，定期组织开展海绵城市建设效果评估，系统研判实施成效、短板弱项，突出城市内涝缓解程度、人民群众满意度和受益程度、资金使用效率等目标。结合国家、省市最新工作部署，按法定程序动态优化建设目标。</w:t>
      </w:r>
    </w:p>
    <w:sectPr>
      <w:footerReference r:id="rId4" w:type="default"/>
      <w:headerReference r:id="rId3" w:type="even"/>
      <w:footerReference r:id="rId5" w:type="even"/>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等线 Light">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F1765">
    <w:pPr>
      <w:pStyle w:val="4"/>
      <w:jc w:val="center"/>
      <w:rPr>
        <w:rFonts w:hint="default" w:ascii="Times New Roman" w:hAnsi="Times New Roman" w:cs="Times New Roman"/>
        <w:sz w:val="21"/>
        <w:szCs w:val="21"/>
      </w:rPr>
    </w:pPr>
    <w:sdt>
      <w:sdtPr>
        <w:rPr>
          <w:rFonts w:hint="default" w:ascii="Times New Roman" w:hAnsi="Times New Roman" w:cs="Times New Roman"/>
          <w:sz w:val="21"/>
          <w:szCs w:val="21"/>
        </w:rPr>
        <w:id w:val="1640769394"/>
        <w:docPartObj>
          <w:docPartGallery w:val="autotext"/>
        </w:docPartObj>
      </w:sdtPr>
      <w:sdtEndPr>
        <w:rPr>
          <w:rFonts w:hint="default" w:ascii="Times New Roman" w:hAnsi="Times New Roman" w:cs="Times New Roman"/>
          <w:sz w:val="21"/>
          <w:szCs w:val="21"/>
        </w:rPr>
      </w:sdtEndPr>
      <w:sdtContent>
        <w:r>
          <w:rPr>
            <w:rFonts w:hint="default" w:ascii="Times New Roman" w:hAnsi="Times New Roman" w:cs="Times New Roman"/>
            <w:sz w:val="21"/>
            <w:szCs w:val="21"/>
          </w:rPr>
          <w:t>-</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PAGE   \* MERGEFORMAT</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lang w:val="zh-CN"/>
          </w:rPr>
          <w:t>9</w:t>
        </w:r>
        <w:r>
          <w:rPr>
            <w:rFonts w:hint="default" w:ascii="Times New Roman" w:hAnsi="Times New Roman" w:cs="Times New Roman"/>
            <w:sz w:val="21"/>
            <w:szCs w:val="21"/>
          </w:rPr>
          <w:fldChar w:fldCharType="end"/>
        </w:r>
      </w:sdtContent>
    </w:sdt>
    <w:r>
      <w:rPr>
        <w:rFonts w:hint="default" w:ascii="Times New Roman" w:hAnsi="Times New Roman" w:cs="Times New Roman"/>
        <w:sz w:val="21"/>
        <w:szCs w:val="21"/>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sz w:val="21"/>
        <w:szCs w:val="21"/>
      </w:rPr>
      <w:id w:val="10532133"/>
    </w:sdtPr>
    <w:sdtEndPr>
      <w:rPr>
        <w:rFonts w:hint="default" w:ascii="Times New Roman" w:hAnsi="Times New Roman" w:cs="Times New Roman"/>
        <w:sz w:val="21"/>
        <w:szCs w:val="21"/>
      </w:rPr>
    </w:sdtEndPr>
    <w:sdtContent>
      <w:p w14:paraId="59182D9F">
        <w:pPr>
          <w:pStyle w:val="4"/>
          <w:jc w:val="center"/>
          <w:rPr>
            <w:rFonts w:ascii="Times New Roman" w:hAnsi="Times New Roman" w:cs="Times New Roman"/>
            <w:sz w:val="28"/>
            <w:szCs w:val="28"/>
          </w:rPr>
        </w:pPr>
        <w:r>
          <w:rPr>
            <w:rFonts w:hint="default" w:ascii="Times New Roman" w:hAnsi="Times New Roman" w:cs="Times New Roman"/>
            <w:sz w:val="21"/>
            <w:szCs w:val="21"/>
          </w:rPr>
          <w:t>-</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PAGE   \* MERGEFORMAT</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lang w:val="zh-CN"/>
          </w:rPr>
          <w:t>10</w:t>
        </w:r>
        <w:r>
          <w:rPr>
            <w:rFonts w:hint="default" w:ascii="Times New Roman" w:hAnsi="Times New Roman" w:cs="Times New Roman"/>
            <w:sz w:val="21"/>
            <w:szCs w:val="21"/>
          </w:rPr>
          <w:fldChar w:fldCharType="end"/>
        </w:r>
        <w:r>
          <w:rPr>
            <w:rFonts w:hint="default" w:ascii="Times New Roman" w:hAnsi="Times New Roman" w:cs="Times New Roman"/>
            <w:sz w:val="21"/>
            <w:szCs w:val="21"/>
          </w:rPr>
          <w:t>-</w:t>
        </w:r>
      </w:p>
    </w:sdtContent>
  </w:sdt>
  <w:p w14:paraId="659A340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B482A">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EA2"/>
    <w:rsid w:val="00026EA2"/>
    <w:rsid w:val="000E0191"/>
    <w:rsid w:val="0034624B"/>
    <w:rsid w:val="004B407A"/>
    <w:rsid w:val="004D0A5B"/>
    <w:rsid w:val="005120FB"/>
    <w:rsid w:val="006E3CE6"/>
    <w:rsid w:val="007923EE"/>
    <w:rsid w:val="0083090C"/>
    <w:rsid w:val="00AE754F"/>
    <w:rsid w:val="00C76BB8"/>
    <w:rsid w:val="00D10C23"/>
    <w:rsid w:val="00D27B01"/>
    <w:rsid w:val="00E475E4"/>
    <w:rsid w:val="00E6245E"/>
    <w:rsid w:val="00EB68D8"/>
    <w:rsid w:val="00F339F3"/>
    <w:rsid w:val="05070D24"/>
    <w:rsid w:val="35D39362"/>
    <w:rsid w:val="525679E9"/>
    <w:rsid w:val="5EFB052B"/>
    <w:rsid w:val="77B74216"/>
    <w:rsid w:val="F67FC4B1"/>
    <w:rsid w:val="FDFF5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80" w:after="80" w:line="360" w:lineRule="auto"/>
      <w:ind w:firstLine="200" w:firstLineChars="200"/>
      <w:outlineLvl w:val="0"/>
    </w:pPr>
    <w:rPr>
      <w:rFonts w:ascii="Times New Roman" w:hAnsi="Times New Roman" w:eastAsia="黑体" w:cs="Times New Roman"/>
      <w:b/>
      <w:bCs/>
      <w:kern w:val="44"/>
      <w:sz w:val="32"/>
      <w:szCs w:val="44"/>
    </w:rPr>
  </w:style>
  <w:style w:type="paragraph" w:styleId="3">
    <w:name w:val="heading 2"/>
    <w:basedOn w:val="1"/>
    <w:next w:val="1"/>
    <w:link w:val="12"/>
    <w:unhideWhenUsed/>
    <w:qFormat/>
    <w:uiPriority w:val="9"/>
    <w:pPr>
      <w:keepNext/>
      <w:keepLines/>
      <w:spacing w:before="60" w:after="60" w:line="360" w:lineRule="auto"/>
      <w:ind w:firstLine="200" w:firstLineChars="200"/>
      <w:outlineLvl w:val="1"/>
    </w:pPr>
    <w:rPr>
      <w:rFonts w:eastAsia="楷体_GB2312" w:asciiTheme="majorHAnsi" w:hAnsiTheme="majorHAnsi" w:cstheme="majorBidi"/>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标题 1 字符"/>
    <w:basedOn w:val="7"/>
    <w:link w:val="2"/>
    <w:qFormat/>
    <w:uiPriority w:val="9"/>
    <w:rPr>
      <w:rFonts w:ascii="Times New Roman" w:hAnsi="Times New Roman" w:eastAsia="黑体" w:cs="Times New Roman"/>
      <w:b/>
      <w:bCs/>
      <w:kern w:val="44"/>
      <w:sz w:val="32"/>
      <w:szCs w:val="44"/>
    </w:rPr>
  </w:style>
  <w:style w:type="character" w:customStyle="1" w:styleId="12">
    <w:name w:val="标题 2 字符"/>
    <w:basedOn w:val="7"/>
    <w:link w:val="3"/>
    <w:qFormat/>
    <w:uiPriority w:val="9"/>
    <w:rPr>
      <w:rFonts w:eastAsia="楷体_GB2312"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7F1CBEE-ABEE-4BCA-AC2F-085CCF21C689}">
  <ds:schemaRefs/>
</ds:datastoreItem>
</file>

<file path=docProps/app.xml><?xml version="1.0" encoding="utf-8"?>
<Properties xmlns="http://schemas.openxmlformats.org/officeDocument/2006/extended-properties" xmlns:vt="http://schemas.openxmlformats.org/officeDocument/2006/docPropsVTypes">
  <Template>Normal</Template>
  <Pages>10</Pages>
  <Words>783</Words>
  <Characters>4468</Characters>
  <Lines>37</Lines>
  <Paragraphs>10</Paragraphs>
  <TotalTime>17</TotalTime>
  <ScaleCrop>false</ScaleCrop>
  <LinksUpToDate>false</LinksUpToDate>
  <CharactersWithSpaces>5241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2021-01-07T02:13:00Z</dcterms:created>
  <dc:creator>lenovo</dc:creator>
  <cp:lastModifiedBy>zhao.</cp:lastModifiedBy>
  <dcterms:modified xsi:type="dcterms:W3CDTF">2026-08-26T14:56:29Z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20AF9F158344826764FE8C6A6ECC653B_43</vt:lpwstr>
  </property>
  <property fmtid="{D5CDD505-2E9C-101B-9397-08002B2CF9AE}" pid="4" name="KSOTemplateDocerSaveRecord">
    <vt:lpwstr>eyJoZGlkIjoiZDZlZmRjMTlkYjM5ZTBkZWJkNTg4ZDhkZDU0ZjU4MDUiLCJ1c2VySWQiOiI2NjM5NTI1NDEifQ==</vt:lpwstr>
  </property>
</Properties>
</file>