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C8152">
      <w:pPr>
        <w:widowControl w:val="0"/>
        <w:adjustRightInd w:val="0"/>
        <w:snapToGrid w:val="0"/>
        <w:spacing w:after="0" w:line="560" w:lineRule="exact"/>
        <w:jc w:val="center"/>
        <w:rPr>
          <w:rFonts w:ascii="Times New Roman" w:hAnsi="Times New Roman" w:eastAsia="方正小标宋_GBK" w:cs="Times New Roman"/>
          <w:spacing w:val="-11"/>
          <w:kern w:val="2"/>
          <w:sz w:val="44"/>
          <w:szCs w:val="44"/>
          <w:lang w:eastAsia="zh-CN"/>
        </w:rPr>
      </w:pPr>
      <w:r>
        <w:rPr>
          <w:rFonts w:hint="eastAsia" w:ascii="Times New Roman" w:hAnsi="Times New Roman" w:eastAsia="方正小标宋_GBK" w:cs="Times New Roman"/>
          <w:spacing w:val="-11"/>
          <w:kern w:val="2"/>
          <w:sz w:val="44"/>
          <w:szCs w:val="44"/>
          <w:lang w:eastAsia="zh-CN"/>
        </w:rPr>
        <w:t>苏州市“十五五”城镇燃气发展</w:t>
      </w:r>
      <w:bookmarkStart w:id="3" w:name="_GoBack"/>
      <w:bookmarkEnd w:id="3"/>
      <w:r>
        <w:rPr>
          <w:rFonts w:hint="eastAsia" w:ascii="Times New Roman" w:hAnsi="Times New Roman" w:eastAsia="方正小标宋_GBK" w:cs="Times New Roman"/>
          <w:spacing w:val="-11"/>
          <w:kern w:val="2"/>
          <w:sz w:val="44"/>
          <w:szCs w:val="44"/>
          <w:lang w:eastAsia="zh-CN"/>
        </w:rPr>
        <w:t>方案</w:t>
      </w:r>
    </w:p>
    <w:p w14:paraId="7E2EC1AF">
      <w:pPr>
        <w:spacing w:after="0" w:line="576" w:lineRule="exact"/>
        <w:jc w:val="center"/>
        <w:rPr>
          <w:rFonts w:ascii="Times New Roman" w:hAnsi="Times New Roman" w:eastAsia="楷体_GB2312" w:cs="楷体_GB2312"/>
          <w:bCs/>
          <w:sz w:val="32"/>
          <w:szCs w:val="32"/>
          <w:lang w:eastAsia="zh-CN"/>
        </w:rPr>
      </w:pPr>
      <w:r>
        <w:rPr>
          <w:rFonts w:hint="eastAsia" w:ascii="Times New Roman" w:hAnsi="Times New Roman" w:eastAsia="楷体_GB2312" w:cs="楷体_GB2312"/>
          <w:bCs/>
          <w:sz w:val="32"/>
          <w:szCs w:val="32"/>
          <w:lang w:eastAsia="zh-CN"/>
        </w:rPr>
        <w:t>（征求意见稿）</w:t>
      </w:r>
    </w:p>
    <w:p w14:paraId="54EE8971">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rPr>
          <w:rFonts w:ascii="Times New Roman" w:hAnsi="Times New Roman" w:eastAsia="仿宋_GB2312" w:cs="Times New Roman"/>
          <w:bCs/>
          <w:snapToGrid w:val="0"/>
          <w:spacing w:val="-6"/>
          <w:sz w:val="32"/>
          <w:szCs w:val="32"/>
          <w:lang w:eastAsia="zh-CN"/>
        </w:rPr>
      </w:pPr>
    </w:p>
    <w:p w14:paraId="4C0C7744">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为贯彻落实国家能源安全新战略和城市安全韧性提升部署，统筹推进苏州市燃气行业高质量发展，根据《中共中央办公厅国务院办公厅关于推进新型城市基础设施建设打造韧性城市的意见》《江苏省</w:t>
      </w:r>
      <w:r>
        <w:rPr>
          <w:rFonts w:hint="eastAsia" w:ascii="Times New Roman" w:hAnsi="Times New Roman" w:eastAsia="仿宋_GB2312" w:cs="Times New Roman"/>
          <w:bCs/>
          <w:snapToGrid w:val="0"/>
          <w:spacing w:val="-6"/>
          <w:sz w:val="32"/>
          <w:szCs w:val="32"/>
          <w:lang w:eastAsia="zh-CN"/>
        </w:rPr>
        <w:t>“十五五”</w:t>
      </w:r>
      <w:r>
        <w:rPr>
          <w:rFonts w:ascii="Times New Roman" w:hAnsi="Times New Roman" w:eastAsia="仿宋_GB2312" w:cs="Times New Roman"/>
          <w:bCs/>
          <w:snapToGrid w:val="0"/>
          <w:spacing w:val="-6"/>
          <w:sz w:val="32"/>
          <w:szCs w:val="32"/>
          <w:lang w:eastAsia="zh-CN"/>
        </w:rPr>
        <w:t>能源发展规划》《苏州市国民经济和社会发展第十五个五年规划纲要》等文件，结合苏州实际制定本</w:t>
      </w:r>
      <w:r>
        <w:rPr>
          <w:rFonts w:hint="eastAsia" w:ascii="Times New Roman" w:hAnsi="Times New Roman" w:eastAsia="仿宋_GB2312" w:cs="Times New Roman"/>
          <w:bCs/>
          <w:snapToGrid w:val="0"/>
          <w:spacing w:val="-6"/>
          <w:sz w:val="32"/>
          <w:szCs w:val="32"/>
          <w:lang w:eastAsia="zh-CN"/>
        </w:rPr>
        <w:t>方案</w:t>
      </w:r>
      <w:r>
        <w:rPr>
          <w:rFonts w:ascii="Times New Roman" w:hAnsi="Times New Roman" w:eastAsia="仿宋_GB2312" w:cs="Times New Roman"/>
          <w:bCs/>
          <w:snapToGrid w:val="0"/>
          <w:spacing w:val="-6"/>
          <w:sz w:val="32"/>
          <w:szCs w:val="32"/>
          <w:lang w:eastAsia="zh-CN"/>
        </w:rPr>
        <w:t>。</w:t>
      </w:r>
      <w:r>
        <w:rPr>
          <w:rFonts w:hint="eastAsia" w:ascii="Times New Roman" w:hAnsi="Times New Roman" w:eastAsia="仿宋_GB2312" w:cs="Times New Roman"/>
          <w:bCs/>
          <w:snapToGrid w:val="0"/>
          <w:spacing w:val="-6"/>
          <w:sz w:val="32"/>
          <w:szCs w:val="32"/>
          <w:lang w:eastAsia="zh-CN"/>
        </w:rPr>
        <w:t>实施</w:t>
      </w:r>
      <w:r>
        <w:rPr>
          <w:rFonts w:ascii="Times New Roman" w:hAnsi="Times New Roman" w:eastAsia="仿宋_GB2312" w:cs="Times New Roman"/>
          <w:bCs/>
          <w:snapToGrid w:val="0"/>
          <w:spacing w:val="-6"/>
          <w:sz w:val="32"/>
          <w:szCs w:val="32"/>
          <w:lang w:eastAsia="zh-CN"/>
        </w:rPr>
        <w:t>期为2026年至2030年。</w:t>
      </w:r>
    </w:p>
    <w:p w14:paraId="15483BE1">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Times New Roman" w:hAnsi="Times New Roman" w:eastAsia="黑体" w:cs="Times New Roman"/>
          <w:b w:val="0"/>
          <w:color w:val="auto"/>
          <w:kern w:val="44"/>
          <w:sz w:val="32"/>
          <w:szCs w:val="44"/>
          <w:lang w:eastAsia="zh-CN"/>
        </w:rPr>
      </w:pPr>
      <w:r>
        <w:rPr>
          <w:rFonts w:ascii="Times New Roman" w:hAnsi="Times New Roman" w:eastAsia="黑体" w:cs="Times New Roman"/>
          <w:b w:val="0"/>
          <w:color w:val="auto"/>
          <w:kern w:val="44"/>
          <w:sz w:val="32"/>
          <w:szCs w:val="44"/>
          <w:lang w:eastAsia="zh-CN"/>
        </w:rPr>
        <w:t>一、总体要求</w:t>
      </w:r>
    </w:p>
    <w:p w14:paraId="384B93A1">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到2030年，实现以下目标：</w:t>
      </w:r>
    </w:p>
    <w:p w14:paraId="466B58C9">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1.供应保障能力显著增强。多气源供给格局更加完善，全市天然气年供气量达48.67亿立方米；建成</w:t>
      </w:r>
      <w:r>
        <w:rPr>
          <w:rFonts w:hint="eastAsia" w:ascii="Times New Roman" w:hAnsi="Times New Roman" w:eastAsia="仿宋_GB2312" w:cs="Times New Roman"/>
          <w:bCs/>
          <w:snapToGrid w:val="0"/>
          <w:spacing w:val="-6"/>
          <w:sz w:val="32"/>
          <w:szCs w:val="32"/>
          <w:lang w:eastAsia="zh-CN"/>
        </w:rPr>
        <w:t>“</w:t>
      </w:r>
      <w:r>
        <w:rPr>
          <w:rFonts w:ascii="Times New Roman" w:hAnsi="Times New Roman" w:eastAsia="仿宋_GB2312" w:cs="Times New Roman"/>
          <w:bCs/>
          <w:snapToGrid w:val="0"/>
          <w:spacing w:val="-6"/>
          <w:sz w:val="32"/>
          <w:szCs w:val="32"/>
          <w:lang w:eastAsia="zh-CN"/>
        </w:rPr>
        <w:t>全域一张网、长三角互保共济</w:t>
      </w:r>
      <w:r>
        <w:rPr>
          <w:rFonts w:hint="eastAsia" w:ascii="Times New Roman" w:hAnsi="Times New Roman" w:eastAsia="仿宋_GB2312" w:cs="Times New Roman"/>
          <w:bCs/>
          <w:snapToGrid w:val="0"/>
          <w:spacing w:val="-6"/>
          <w:sz w:val="32"/>
          <w:szCs w:val="32"/>
          <w:lang w:eastAsia="zh-CN"/>
        </w:rPr>
        <w:t>”</w:t>
      </w:r>
      <w:r>
        <w:rPr>
          <w:rFonts w:ascii="Times New Roman" w:hAnsi="Times New Roman" w:eastAsia="仿宋_GB2312" w:cs="Times New Roman"/>
          <w:bCs/>
          <w:snapToGrid w:val="0"/>
          <w:spacing w:val="-6"/>
          <w:sz w:val="32"/>
          <w:szCs w:val="32"/>
          <w:lang w:eastAsia="zh-CN"/>
        </w:rPr>
        <w:t>高压管网体系，储气调峰能力不低于日均3天用气量。</w:t>
      </w:r>
    </w:p>
    <w:p w14:paraId="1F39F3EF">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2.管网设施体系更加完善。新建高压管道约154公里、中压管道约2747公里，改造老旧高中压管道约491公里、庭院管道约366个小区；门站、调压站总数达140座。</w:t>
      </w:r>
    </w:p>
    <w:p w14:paraId="0D4FD44B">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3.安全韧性水平全面提升。隐患排查治理体系更加健全，老旧管道更新改造基本完成，瓶装气安全管理水平显著提高；城市生命线燃气场景应用全面深化，智能感知设备关键节点全覆盖。</w:t>
      </w:r>
    </w:p>
    <w:p w14:paraId="4A900B20">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4.智慧化水平大幅提高。智慧燃气监管平台全面建成，燃气设施数字化、网络化、智能化水平显著提升，智能燃气表普及率大幅提高。</w:t>
      </w:r>
    </w:p>
    <w:p w14:paraId="27CCF470">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Times New Roman" w:hAnsi="Times New Roman" w:eastAsia="黑体" w:cs="Times New Roman"/>
          <w:b w:val="0"/>
          <w:color w:val="auto"/>
          <w:kern w:val="44"/>
          <w:sz w:val="32"/>
          <w:szCs w:val="44"/>
          <w:lang w:eastAsia="zh-CN"/>
        </w:rPr>
      </w:pPr>
      <w:r>
        <w:rPr>
          <w:rFonts w:ascii="Times New Roman" w:hAnsi="Times New Roman" w:eastAsia="黑体" w:cs="Times New Roman"/>
          <w:b w:val="0"/>
          <w:color w:val="auto"/>
          <w:kern w:val="44"/>
          <w:sz w:val="32"/>
          <w:szCs w:val="44"/>
          <w:lang w:eastAsia="zh-CN"/>
        </w:rPr>
        <w:t>二、完善多气源保障体系建设</w:t>
      </w:r>
    </w:p>
    <w:p w14:paraId="7CCA37D6">
      <w:pPr>
        <w:keepNext w:val="0"/>
        <w:keepLines w:val="0"/>
        <w:pageBreakBefore w:val="0"/>
        <w:kinsoku/>
        <w:wordWrap/>
        <w:overflowPunct/>
        <w:topLinePunct w:val="0"/>
        <w:autoSpaceDE/>
        <w:autoSpaceDN/>
        <w:bidi w:val="0"/>
        <w:adjustRightInd/>
        <w:snapToGrid/>
        <w:spacing w:after="0" w:line="560" w:lineRule="exact"/>
        <w:ind w:firstLine="320" w:firstLineChars="100"/>
        <w:textAlignment w:val="auto"/>
        <w:rPr>
          <w:rFonts w:hint="eastAsia" w:ascii="Times New Roman" w:hAnsi="Times New Roman" w:eastAsia="楷体_GB2312" w:cs="楷体_GB2312"/>
          <w:b w:val="0"/>
          <w:bCs/>
          <w:sz w:val="32"/>
          <w:szCs w:val="32"/>
          <w:lang w:eastAsia="zh-CN"/>
        </w:rPr>
      </w:pPr>
      <w:r>
        <w:rPr>
          <w:rFonts w:hint="eastAsia" w:ascii="Times New Roman" w:hAnsi="Times New Roman" w:eastAsia="楷体_GB2312" w:cs="楷体_GB2312"/>
          <w:b w:val="0"/>
          <w:bCs/>
          <w:sz w:val="32"/>
          <w:szCs w:val="32"/>
          <w:lang w:eastAsia="zh-CN"/>
        </w:rPr>
        <w:t>（一）拓展气源供应渠道</w:t>
      </w:r>
    </w:p>
    <w:p w14:paraId="74CD140F">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深化与中国石油、中国石化、中国海油等上游企业战略合作，</w:t>
      </w:r>
      <w:r>
        <w:rPr>
          <w:rFonts w:hint="eastAsia" w:ascii="Times New Roman" w:hAnsi="Times New Roman" w:eastAsia="仿宋_GB2312" w:cs="Times New Roman"/>
          <w:bCs/>
          <w:snapToGrid w:val="0"/>
          <w:spacing w:val="-6"/>
          <w:sz w:val="32"/>
          <w:szCs w:val="32"/>
          <w:lang w:eastAsia="zh-CN"/>
        </w:rPr>
        <w:t>实现苏沪、苏锡高压管道联络线</w:t>
      </w:r>
      <w:r>
        <w:rPr>
          <w:rFonts w:ascii="Times New Roman" w:hAnsi="Times New Roman" w:eastAsia="仿宋_GB2312" w:cs="Times New Roman"/>
          <w:bCs/>
          <w:snapToGrid w:val="0"/>
          <w:spacing w:val="-6"/>
          <w:sz w:val="32"/>
          <w:szCs w:val="32"/>
          <w:lang w:eastAsia="zh-CN"/>
        </w:rPr>
        <w:t>建</w:t>
      </w:r>
      <w:r>
        <w:rPr>
          <w:rFonts w:hint="eastAsia" w:ascii="Times New Roman" w:hAnsi="Times New Roman" w:eastAsia="仿宋_GB2312" w:cs="Times New Roman"/>
          <w:bCs/>
          <w:snapToGrid w:val="0"/>
          <w:spacing w:val="-6"/>
          <w:sz w:val="32"/>
          <w:szCs w:val="32"/>
          <w:lang w:eastAsia="zh-CN"/>
        </w:rPr>
        <w:t>成通气。</w:t>
      </w:r>
      <w:r>
        <w:rPr>
          <w:rFonts w:ascii="Times New Roman" w:hAnsi="Times New Roman" w:eastAsia="仿宋_GB2312" w:cs="Times New Roman"/>
          <w:bCs/>
          <w:snapToGrid w:val="0"/>
          <w:spacing w:val="-6"/>
          <w:sz w:val="32"/>
          <w:szCs w:val="32"/>
          <w:lang w:eastAsia="zh-CN"/>
        </w:rPr>
        <w:t>充分利用</w:t>
      </w:r>
      <w:r>
        <w:rPr>
          <w:rFonts w:hint="eastAsia" w:ascii="Times New Roman" w:hAnsi="Times New Roman" w:eastAsia="仿宋_GB2312" w:cs="Times New Roman"/>
          <w:bCs/>
          <w:snapToGrid w:val="0"/>
          <w:spacing w:val="-6"/>
          <w:sz w:val="32"/>
          <w:szCs w:val="32"/>
          <w:lang w:eastAsia="zh-CN"/>
        </w:rPr>
        <w:t>上海洋山港</w:t>
      </w:r>
      <w:r>
        <w:rPr>
          <w:rFonts w:ascii="Times New Roman" w:hAnsi="Times New Roman" w:eastAsia="仿宋_GB2312" w:cs="Times New Roman"/>
          <w:bCs/>
          <w:snapToGrid w:val="0"/>
          <w:spacing w:val="-6"/>
          <w:sz w:val="32"/>
          <w:szCs w:val="32"/>
          <w:lang w:eastAsia="zh-CN"/>
        </w:rPr>
        <w:t>LNG接收站，形成管道天然气与LNG互补的供给格局。</w:t>
      </w:r>
    </w:p>
    <w:p w14:paraId="7A878572">
      <w:pPr>
        <w:keepNext w:val="0"/>
        <w:keepLines w:val="0"/>
        <w:pageBreakBefore w:val="0"/>
        <w:kinsoku/>
        <w:wordWrap/>
        <w:overflowPunct/>
        <w:topLinePunct w:val="0"/>
        <w:autoSpaceDE/>
        <w:autoSpaceDN/>
        <w:bidi w:val="0"/>
        <w:adjustRightInd/>
        <w:snapToGrid/>
        <w:spacing w:after="0" w:line="560" w:lineRule="exact"/>
        <w:ind w:firstLine="320" w:firstLineChars="100"/>
        <w:textAlignment w:val="auto"/>
        <w:rPr>
          <w:rFonts w:hint="eastAsia" w:ascii="Times New Roman" w:hAnsi="Times New Roman" w:eastAsia="楷体_GB2312" w:cs="楷体_GB2312"/>
          <w:b w:val="0"/>
          <w:bCs/>
          <w:sz w:val="32"/>
          <w:szCs w:val="32"/>
          <w:lang w:eastAsia="zh-CN"/>
        </w:rPr>
      </w:pPr>
      <w:r>
        <w:rPr>
          <w:rFonts w:hint="eastAsia" w:ascii="Times New Roman" w:hAnsi="Times New Roman" w:eastAsia="楷体_GB2312" w:cs="楷体_GB2312"/>
          <w:b w:val="0"/>
          <w:bCs/>
          <w:sz w:val="32"/>
          <w:szCs w:val="32"/>
          <w:lang w:eastAsia="zh-CN"/>
        </w:rPr>
        <w:t>（二）推进高压管网互联互通</w:t>
      </w:r>
    </w:p>
    <w:p w14:paraId="3C176C50">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统筹规划市域高压管网布局，加快构建</w:t>
      </w:r>
      <w:r>
        <w:rPr>
          <w:rFonts w:hint="eastAsia" w:ascii="Times New Roman" w:hAnsi="Times New Roman" w:eastAsia="仿宋_GB2312" w:cs="Times New Roman"/>
          <w:bCs/>
          <w:snapToGrid w:val="0"/>
          <w:spacing w:val="-6"/>
          <w:sz w:val="32"/>
          <w:szCs w:val="32"/>
          <w:lang w:eastAsia="zh-CN"/>
        </w:rPr>
        <w:t>“</w:t>
      </w:r>
      <w:r>
        <w:rPr>
          <w:rFonts w:ascii="Times New Roman" w:hAnsi="Times New Roman" w:eastAsia="仿宋_GB2312" w:cs="Times New Roman"/>
          <w:bCs/>
          <w:snapToGrid w:val="0"/>
          <w:spacing w:val="-6"/>
          <w:sz w:val="32"/>
          <w:szCs w:val="32"/>
          <w:lang w:eastAsia="zh-CN"/>
        </w:rPr>
        <w:t>一环多支、互联互通</w:t>
      </w:r>
      <w:r>
        <w:rPr>
          <w:rFonts w:hint="eastAsia" w:ascii="Times New Roman" w:hAnsi="Times New Roman" w:eastAsia="仿宋_GB2312" w:cs="Times New Roman"/>
          <w:bCs/>
          <w:snapToGrid w:val="0"/>
          <w:spacing w:val="-6"/>
          <w:sz w:val="32"/>
          <w:szCs w:val="32"/>
          <w:lang w:eastAsia="zh-CN"/>
        </w:rPr>
        <w:t>”</w:t>
      </w:r>
      <w:r>
        <w:rPr>
          <w:rFonts w:ascii="Times New Roman" w:hAnsi="Times New Roman" w:eastAsia="仿宋_GB2312" w:cs="Times New Roman"/>
          <w:bCs/>
          <w:snapToGrid w:val="0"/>
          <w:spacing w:val="-6"/>
          <w:sz w:val="32"/>
          <w:szCs w:val="32"/>
          <w:lang w:eastAsia="zh-CN"/>
        </w:rPr>
        <w:t>一环多支、互联互通"体系。推进各县级市（区）高压管网互联互通，实现市域</w:t>
      </w:r>
      <w:r>
        <w:rPr>
          <w:rFonts w:hint="eastAsia" w:ascii="Times New Roman" w:hAnsi="Times New Roman" w:eastAsia="仿宋_GB2312" w:cs="Times New Roman"/>
          <w:bCs/>
          <w:snapToGrid w:val="0"/>
          <w:spacing w:val="-6"/>
          <w:sz w:val="32"/>
          <w:szCs w:val="32"/>
          <w:lang w:eastAsia="zh-CN"/>
        </w:rPr>
        <w:t>“一张网”</w:t>
      </w:r>
      <w:r>
        <w:rPr>
          <w:rFonts w:ascii="Times New Roman" w:hAnsi="Times New Roman" w:eastAsia="仿宋_GB2312" w:cs="Times New Roman"/>
          <w:bCs/>
          <w:snapToGrid w:val="0"/>
          <w:spacing w:val="-6"/>
          <w:sz w:val="32"/>
          <w:szCs w:val="32"/>
          <w:lang w:eastAsia="zh-CN"/>
        </w:rPr>
        <w:t>运营，</w:t>
      </w:r>
      <w:r>
        <w:rPr>
          <w:rFonts w:hint="eastAsia" w:ascii="Times New Roman" w:hAnsi="Times New Roman" w:eastAsia="仿宋_GB2312" w:cs="Times New Roman"/>
          <w:bCs/>
          <w:snapToGrid w:val="0"/>
          <w:spacing w:val="-6"/>
          <w:sz w:val="32"/>
          <w:szCs w:val="32"/>
          <w:lang w:eastAsia="zh-CN"/>
        </w:rPr>
        <w:t>“十五五”</w:t>
      </w:r>
      <w:r>
        <w:rPr>
          <w:rFonts w:ascii="Times New Roman" w:hAnsi="Times New Roman" w:eastAsia="仿宋_GB2312" w:cs="Times New Roman"/>
          <w:bCs/>
          <w:snapToGrid w:val="0"/>
          <w:spacing w:val="-6"/>
          <w:sz w:val="32"/>
          <w:szCs w:val="32"/>
          <w:lang w:eastAsia="zh-CN"/>
        </w:rPr>
        <w:t>期间新建高压管道约154公里。推进高压管网智能化改造，在关键节点部署压力、流量、温度等感知设备，实现实时监测和智能调度。</w:t>
      </w:r>
    </w:p>
    <w:p w14:paraId="69A30350">
      <w:pPr>
        <w:keepNext w:val="0"/>
        <w:keepLines w:val="0"/>
        <w:pageBreakBefore w:val="0"/>
        <w:kinsoku/>
        <w:wordWrap/>
        <w:overflowPunct/>
        <w:topLinePunct w:val="0"/>
        <w:autoSpaceDE/>
        <w:autoSpaceDN/>
        <w:bidi w:val="0"/>
        <w:adjustRightInd/>
        <w:snapToGrid/>
        <w:spacing w:after="0" w:line="560" w:lineRule="exact"/>
        <w:ind w:firstLine="320" w:firstLineChars="100"/>
        <w:textAlignment w:val="auto"/>
        <w:rPr>
          <w:rFonts w:hint="eastAsia" w:ascii="Times New Roman" w:hAnsi="Times New Roman" w:eastAsia="楷体_GB2312" w:cs="楷体_GB2312"/>
          <w:b w:val="0"/>
          <w:bCs/>
          <w:sz w:val="32"/>
          <w:szCs w:val="32"/>
          <w:lang w:eastAsia="zh-CN"/>
        </w:rPr>
      </w:pPr>
      <w:r>
        <w:rPr>
          <w:rFonts w:hint="eastAsia" w:ascii="Times New Roman" w:hAnsi="Times New Roman" w:eastAsia="楷体_GB2312" w:cs="楷体_GB2312"/>
          <w:b w:val="0"/>
          <w:bCs/>
          <w:sz w:val="32"/>
          <w:szCs w:val="32"/>
          <w:lang w:eastAsia="zh-CN"/>
        </w:rPr>
        <w:t>（三）增强储气调峰能力</w:t>
      </w:r>
    </w:p>
    <w:p w14:paraId="2DC3147E">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按照"政府引导、企业主体、市场运作"原则，加快构建储气调峰体系，鼓励企业通过自建储气设施、购买储气服务等方式落实储气责任。完善储气调峰机制，建立季节性、日、小时调峰相结合的体系。到2030年，全市LNG储气总能力达6434万立方米，满足日均3天用气量的应急储备能力。</w:t>
      </w:r>
    </w:p>
    <w:p w14:paraId="3DCFC14A">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Times New Roman" w:hAnsi="Times New Roman" w:eastAsia="黑体" w:cs="Times New Roman"/>
          <w:b w:val="0"/>
          <w:color w:val="auto"/>
          <w:kern w:val="44"/>
          <w:sz w:val="32"/>
          <w:szCs w:val="44"/>
          <w:lang w:eastAsia="zh-CN"/>
        </w:rPr>
      </w:pPr>
      <w:r>
        <w:rPr>
          <w:rFonts w:hint="eastAsia" w:ascii="Times New Roman" w:hAnsi="Times New Roman" w:eastAsia="黑体" w:cs="Times New Roman"/>
          <w:b w:val="0"/>
          <w:color w:val="auto"/>
          <w:kern w:val="44"/>
          <w:sz w:val="32"/>
          <w:szCs w:val="44"/>
          <w:lang w:eastAsia="zh-CN"/>
        </w:rPr>
        <w:t>三</w:t>
      </w:r>
      <w:r>
        <w:rPr>
          <w:rFonts w:ascii="Times New Roman" w:hAnsi="Times New Roman" w:eastAsia="黑体" w:cs="Times New Roman"/>
          <w:b w:val="0"/>
          <w:color w:val="auto"/>
          <w:kern w:val="44"/>
          <w:sz w:val="32"/>
          <w:szCs w:val="44"/>
          <w:lang w:eastAsia="zh-CN"/>
        </w:rPr>
        <w:t>、推进燃气设施建设与改造</w:t>
      </w:r>
    </w:p>
    <w:p w14:paraId="0784E7F1">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（一）优化中压管网布局</w:t>
      </w:r>
    </w:p>
    <w:p w14:paraId="10C2B18A">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优化中压管网布局。结合城市发展规划和产业布局，重点推进新建城区、产业园区、农村地区中压管网延伸，扩大天然气覆盖范围，全市新建中压管道约2747公里。推进中压管网互联互通，加强相邻区域联络，提高运行可靠性和灵活性。</w:t>
      </w:r>
    </w:p>
    <w:p w14:paraId="1821BC53">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（二）推进老旧管道更新改造</w:t>
      </w:r>
    </w:p>
    <w:p w14:paraId="614270AD">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全面排查</w:t>
      </w:r>
      <w:r>
        <w:rPr>
          <w:rFonts w:hint="eastAsia" w:ascii="Times New Roman" w:hAnsi="Times New Roman" w:eastAsia="仿宋_GB2312" w:cs="Times New Roman"/>
          <w:bCs/>
          <w:snapToGrid w:val="0"/>
          <w:spacing w:val="-6"/>
          <w:sz w:val="32"/>
          <w:szCs w:val="32"/>
          <w:lang w:eastAsia="zh-CN"/>
        </w:rPr>
        <w:t>燃气管道隐患</w:t>
      </w:r>
      <w:r>
        <w:rPr>
          <w:rFonts w:ascii="Times New Roman" w:hAnsi="Times New Roman" w:eastAsia="仿宋_GB2312" w:cs="Times New Roman"/>
          <w:bCs/>
          <w:snapToGrid w:val="0"/>
          <w:spacing w:val="-6"/>
          <w:sz w:val="32"/>
          <w:szCs w:val="32"/>
          <w:lang w:eastAsia="zh-CN"/>
        </w:rPr>
        <w:t>，</w:t>
      </w:r>
      <w:r>
        <w:rPr>
          <w:rFonts w:hint="eastAsia" w:ascii="Times New Roman" w:hAnsi="Times New Roman" w:eastAsia="仿宋_GB2312" w:cs="Times New Roman"/>
          <w:bCs/>
          <w:snapToGrid w:val="0"/>
          <w:spacing w:val="-6"/>
          <w:sz w:val="32"/>
          <w:szCs w:val="32"/>
          <w:lang w:eastAsia="zh-CN"/>
        </w:rPr>
        <w:t>更新</w:t>
      </w:r>
      <w:r>
        <w:rPr>
          <w:rFonts w:ascii="Times New Roman" w:hAnsi="Times New Roman" w:eastAsia="仿宋_GB2312" w:cs="Times New Roman"/>
          <w:bCs/>
          <w:snapToGrid w:val="0"/>
          <w:spacing w:val="-6"/>
          <w:sz w:val="32"/>
          <w:szCs w:val="32"/>
          <w:lang w:eastAsia="zh-CN"/>
        </w:rPr>
        <w:t>改造老旧高中压管道约491公里，其中高压约87公里、中压约404公里。统筹推进老旧管道改造与城市道路建设、老旧小区改造、地下综合管廊建设等工作，避免重复开挖。加强部门协调，建立联合审批和协同施工机制，提高改造效率。</w:t>
      </w:r>
    </w:p>
    <w:p w14:paraId="4CE98359">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（三）提升庭院管道安全水平</w:t>
      </w:r>
    </w:p>
    <w:p w14:paraId="3560D9C1">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全面推进</w:t>
      </w:r>
      <w:r>
        <w:rPr>
          <w:rFonts w:hint="eastAsia" w:ascii="Times New Roman" w:hAnsi="Times New Roman" w:eastAsia="仿宋_GB2312" w:cs="Times New Roman"/>
          <w:bCs/>
          <w:snapToGrid w:val="0"/>
          <w:spacing w:val="-6"/>
          <w:sz w:val="32"/>
          <w:szCs w:val="32"/>
          <w:lang w:eastAsia="zh-CN"/>
        </w:rPr>
        <w:t>老旧</w:t>
      </w:r>
      <w:r>
        <w:rPr>
          <w:rFonts w:ascii="Times New Roman" w:hAnsi="Times New Roman" w:eastAsia="仿宋_GB2312" w:cs="Times New Roman"/>
          <w:bCs/>
          <w:snapToGrid w:val="0"/>
          <w:spacing w:val="-6"/>
          <w:sz w:val="32"/>
          <w:szCs w:val="32"/>
          <w:lang w:eastAsia="zh-CN"/>
        </w:rPr>
        <w:t>庭院管道和立管改造，</w:t>
      </w:r>
      <w:r>
        <w:rPr>
          <w:rFonts w:hint="eastAsia" w:ascii="Times New Roman" w:hAnsi="Times New Roman" w:eastAsia="仿宋_GB2312" w:cs="Times New Roman"/>
          <w:bCs/>
          <w:snapToGrid w:val="0"/>
          <w:spacing w:val="-6"/>
          <w:sz w:val="32"/>
          <w:szCs w:val="32"/>
          <w:lang w:eastAsia="zh-CN"/>
        </w:rPr>
        <w:t>更新</w:t>
      </w:r>
      <w:r>
        <w:rPr>
          <w:rFonts w:ascii="Times New Roman" w:hAnsi="Times New Roman" w:eastAsia="仿宋_GB2312" w:cs="Times New Roman"/>
          <w:bCs/>
          <w:snapToGrid w:val="0"/>
          <w:spacing w:val="-6"/>
          <w:sz w:val="32"/>
          <w:szCs w:val="32"/>
          <w:lang w:eastAsia="zh-CN"/>
        </w:rPr>
        <w:t>改造庭院管道约366个小区，10.7万</w:t>
      </w:r>
      <w:r>
        <w:rPr>
          <w:rFonts w:hint="eastAsia" w:ascii="Times New Roman" w:hAnsi="Times New Roman" w:eastAsia="仿宋_GB2312" w:cs="Times New Roman"/>
          <w:bCs/>
          <w:snapToGrid w:val="0"/>
          <w:spacing w:val="-6"/>
          <w:sz w:val="32"/>
          <w:szCs w:val="32"/>
          <w:lang w:eastAsia="zh-CN"/>
        </w:rPr>
        <w:t>用户，</w:t>
      </w:r>
      <w:r>
        <w:rPr>
          <w:rFonts w:ascii="Times New Roman" w:hAnsi="Times New Roman" w:eastAsia="仿宋_GB2312" w:cs="Times New Roman"/>
          <w:bCs/>
          <w:snapToGrid w:val="0"/>
          <w:spacing w:val="-6"/>
          <w:sz w:val="32"/>
          <w:szCs w:val="32"/>
          <w:lang w:eastAsia="zh-CN"/>
        </w:rPr>
        <w:t>长度约132</w:t>
      </w:r>
      <w:r>
        <w:rPr>
          <w:rFonts w:hint="eastAsia" w:ascii="Times New Roman" w:hAnsi="Times New Roman" w:eastAsia="仿宋_GB2312" w:cs="Times New Roman"/>
          <w:bCs/>
          <w:snapToGrid w:val="0"/>
          <w:spacing w:val="-6"/>
          <w:sz w:val="32"/>
          <w:szCs w:val="32"/>
          <w:lang w:eastAsia="zh-CN"/>
        </w:rPr>
        <w:t>公里</w:t>
      </w:r>
      <w:r>
        <w:rPr>
          <w:rFonts w:ascii="Times New Roman" w:hAnsi="Times New Roman" w:eastAsia="仿宋_GB2312" w:cs="Times New Roman"/>
          <w:bCs/>
          <w:snapToGrid w:val="0"/>
          <w:spacing w:val="-6"/>
          <w:sz w:val="32"/>
          <w:szCs w:val="32"/>
          <w:lang w:eastAsia="zh-CN"/>
        </w:rPr>
        <w:t>。推进居民小区燃气设施专业化管理，鼓励物业服务企业参与日常巡查和安全管理。</w:t>
      </w:r>
    </w:p>
    <w:p w14:paraId="5F8E9495">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（四）优化储配站布局与关停整合</w:t>
      </w:r>
    </w:p>
    <w:p w14:paraId="7BE6FF4D">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1.严控新增储配站：不再新增LPG储配站，确因政府规划调整、征收等原因需要迁建的，严格控制迁建项目规模，减少储气容量。</w:t>
      </w:r>
    </w:p>
    <w:p w14:paraId="67DD31BE">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2.存量储配站评估与退出：开展全市液化石油气储配站安全评估，对位于建成区核心区域、</w:t>
      </w:r>
      <w:r>
        <w:rPr>
          <w:rFonts w:hint="eastAsia" w:ascii="Times New Roman" w:hAnsi="Times New Roman" w:eastAsia="仿宋_GB2312" w:cs="Times New Roman"/>
          <w:bCs/>
          <w:snapToGrid w:val="0"/>
          <w:spacing w:val="-6"/>
          <w:sz w:val="32"/>
          <w:szCs w:val="32"/>
          <w:lang w:eastAsia="zh-CN"/>
        </w:rPr>
        <w:t>安全</w:t>
      </w:r>
      <w:r>
        <w:rPr>
          <w:rFonts w:ascii="Times New Roman" w:hAnsi="Times New Roman" w:eastAsia="仿宋_GB2312" w:cs="Times New Roman"/>
          <w:bCs/>
          <w:snapToGrid w:val="0"/>
          <w:spacing w:val="-6"/>
          <w:sz w:val="32"/>
          <w:szCs w:val="32"/>
          <w:lang w:eastAsia="zh-CN"/>
        </w:rPr>
        <w:t>条件不满足现行规范的储配站，制定分年度关停退出清单</w:t>
      </w:r>
      <w:r>
        <w:rPr>
          <w:rFonts w:hint="eastAsia" w:ascii="Times New Roman" w:hAnsi="Times New Roman" w:eastAsia="仿宋_GB2312" w:cs="Times New Roman"/>
          <w:bCs/>
          <w:snapToGrid w:val="0"/>
          <w:spacing w:val="-6"/>
          <w:sz w:val="32"/>
          <w:szCs w:val="32"/>
          <w:lang w:eastAsia="zh-CN"/>
        </w:rPr>
        <w:t>，</w:t>
      </w:r>
      <w:r>
        <w:rPr>
          <w:rFonts w:ascii="Times New Roman" w:hAnsi="Times New Roman" w:eastAsia="仿宋_GB2312" w:cs="Times New Roman"/>
          <w:bCs/>
          <w:snapToGrid w:val="0"/>
          <w:spacing w:val="-6"/>
          <w:sz w:val="32"/>
          <w:szCs w:val="32"/>
          <w:lang w:eastAsia="zh-CN"/>
        </w:rPr>
        <w:t>鼓励企业通过异地迁建、合并经营等方式完成整合，</w:t>
      </w:r>
      <w:r>
        <w:rPr>
          <w:rFonts w:hint="eastAsia" w:ascii="Times New Roman" w:hAnsi="Times New Roman" w:eastAsia="仿宋_GB2312" w:cs="Times New Roman"/>
          <w:bCs/>
          <w:snapToGrid w:val="0"/>
          <w:spacing w:val="-6"/>
          <w:sz w:val="32"/>
          <w:szCs w:val="32"/>
          <w:lang w:eastAsia="zh-CN"/>
        </w:rPr>
        <w:t>形成</w:t>
      </w:r>
      <w:r>
        <w:rPr>
          <w:rFonts w:ascii="Times New Roman" w:hAnsi="Times New Roman" w:eastAsia="仿宋_GB2312" w:cs="Times New Roman"/>
          <w:bCs/>
          <w:snapToGrid w:val="0"/>
          <w:spacing w:val="-6"/>
          <w:sz w:val="32"/>
          <w:szCs w:val="32"/>
          <w:lang w:eastAsia="zh-CN"/>
        </w:rPr>
        <w:t>规模效应</w:t>
      </w:r>
      <w:r>
        <w:rPr>
          <w:rFonts w:hint="eastAsia" w:ascii="Times New Roman" w:hAnsi="Times New Roman" w:eastAsia="仿宋_GB2312" w:cs="Times New Roman"/>
          <w:bCs/>
          <w:snapToGrid w:val="0"/>
          <w:spacing w:val="-6"/>
          <w:sz w:val="32"/>
          <w:szCs w:val="32"/>
          <w:lang w:eastAsia="zh-CN"/>
        </w:rPr>
        <w:t>，</w:t>
      </w:r>
      <w:r>
        <w:rPr>
          <w:rFonts w:ascii="Times New Roman" w:hAnsi="Times New Roman" w:eastAsia="仿宋_GB2312" w:cs="Times New Roman"/>
          <w:bCs/>
          <w:snapToGrid w:val="0"/>
          <w:spacing w:val="-6"/>
          <w:sz w:val="32"/>
          <w:szCs w:val="32"/>
          <w:lang w:eastAsia="zh-CN"/>
        </w:rPr>
        <w:t>提升安全管理水平。</w:t>
      </w:r>
    </w:p>
    <w:p w14:paraId="2BCA4122">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3.保留储配站提质改造：对保留的储配站实施本质安全提升改造，完善视频监控、可燃气体报警、紧急切断、消防喷淋、围堰防护系统</w:t>
      </w:r>
      <w:r>
        <w:rPr>
          <w:rFonts w:hint="eastAsia" w:ascii="Times New Roman" w:hAnsi="Times New Roman" w:eastAsia="仿宋_GB2312" w:cs="Times New Roman"/>
          <w:bCs/>
          <w:snapToGrid w:val="0"/>
          <w:spacing w:val="-6"/>
          <w:sz w:val="32"/>
          <w:szCs w:val="32"/>
          <w:lang w:eastAsia="zh-CN"/>
        </w:rPr>
        <w:t>，</w:t>
      </w:r>
      <w:r>
        <w:rPr>
          <w:rFonts w:ascii="Times New Roman" w:hAnsi="Times New Roman" w:eastAsia="仿宋_GB2312" w:cs="Times New Roman"/>
          <w:bCs/>
          <w:snapToGrid w:val="0"/>
          <w:spacing w:val="-6"/>
          <w:sz w:val="32"/>
          <w:szCs w:val="32"/>
          <w:lang w:eastAsia="zh-CN"/>
        </w:rPr>
        <w:t>增设充装工位智能视频巡检系统。</w:t>
      </w:r>
    </w:p>
    <w:p w14:paraId="0931798A">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（五）供应站规范化建设与动态管控</w:t>
      </w:r>
    </w:p>
    <w:p w14:paraId="4A1061D9">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1.优化供应站布局：供应站作为瓶装气中转便民网点，坚持“减总量、优布局”，确有民生保供缺口区域，可新建标准化二级、三级供应站，优先布点在乡镇集镇、中心村，严禁在高密度居民楼底层设置供应站。全市</w:t>
      </w:r>
      <w:r>
        <w:rPr>
          <w:rFonts w:hint="eastAsia" w:ascii="Times New Roman" w:hAnsi="Times New Roman" w:eastAsia="仿宋_GB2312" w:cs="Times New Roman"/>
          <w:bCs/>
          <w:snapToGrid w:val="0"/>
          <w:spacing w:val="-6"/>
          <w:sz w:val="32"/>
          <w:szCs w:val="32"/>
          <w:lang w:eastAsia="zh-CN"/>
        </w:rPr>
        <w:t>新增16座液化石油气瓶装</w:t>
      </w:r>
      <w:r>
        <w:rPr>
          <w:rFonts w:ascii="Times New Roman" w:hAnsi="Times New Roman" w:eastAsia="仿宋_GB2312" w:cs="Times New Roman"/>
          <w:bCs/>
          <w:snapToGrid w:val="0"/>
          <w:spacing w:val="-6"/>
          <w:sz w:val="32"/>
          <w:szCs w:val="32"/>
          <w:lang w:eastAsia="zh-CN"/>
        </w:rPr>
        <w:t>供应站</w:t>
      </w:r>
      <w:r>
        <w:rPr>
          <w:rFonts w:hint="eastAsia" w:ascii="Times New Roman" w:hAnsi="Times New Roman" w:eastAsia="仿宋_GB2312" w:cs="Times New Roman"/>
          <w:bCs/>
          <w:snapToGrid w:val="0"/>
          <w:spacing w:val="-6"/>
          <w:sz w:val="32"/>
          <w:szCs w:val="32"/>
          <w:lang w:eastAsia="zh-CN"/>
        </w:rPr>
        <w:t>。</w:t>
      </w:r>
    </w:p>
    <w:tbl>
      <w:tblPr>
        <w:tblStyle w:val="32"/>
        <w:tblW w:w="9060" w:type="dxa"/>
        <w:jc w:val="center"/>
        <w:tblLayout w:type="fixed"/>
        <w:tblCellMar>
          <w:top w:w="0" w:type="dxa"/>
          <w:left w:w="108" w:type="dxa"/>
          <w:bottom w:w="0" w:type="dxa"/>
          <w:right w:w="108" w:type="dxa"/>
        </w:tblCellMar>
      </w:tblPr>
      <w:tblGrid>
        <w:gridCol w:w="709"/>
        <w:gridCol w:w="2842"/>
        <w:gridCol w:w="1710"/>
        <w:gridCol w:w="2819"/>
        <w:gridCol w:w="980"/>
      </w:tblGrid>
      <w:tr w14:paraId="54B73958">
        <w:tblPrEx>
          <w:tblCellMar>
            <w:top w:w="0" w:type="dxa"/>
            <w:left w:w="108" w:type="dxa"/>
            <w:bottom w:w="0" w:type="dxa"/>
            <w:right w:w="108" w:type="dxa"/>
          </w:tblCellMar>
        </w:tblPrEx>
        <w:trPr>
          <w:trHeight w:val="600" w:hRule="atLeast"/>
          <w:jc w:val="center"/>
        </w:trPr>
        <w:tc>
          <w:tcPr>
            <w:tcW w:w="9060" w:type="dxa"/>
            <w:gridSpan w:val="5"/>
            <w:tcBorders>
              <w:top w:val="nil"/>
              <w:left w:val="nil"/>
              <w:bottom w:val="nil"/>
              <w:right w:val="nil"/>
            </w:tcBorders>
            <w:noWrap/>
            <w:vAlign w:val="center"/>
          </w:tcPr>
          <w:p w14:paraId="5541B485">
            <w:pPr>
              <w:keepNext w:val="0"/>
              <w:keepLines w:val="0"/>
              <w:pageBreakBefore w:val="0"/>
              <w:widowControl/>
              <w:kinsoku/>
              <w:wordWrap/>
              <w:overflowPunct/>
              <w:topLinePunct w:val="0"/>
              <w:autoSpaceDE/>
              <w:autoSpaceDN/>
              <w:bidi w:val="0"/>
              <w:adjustRightInd/>
              <w:snapToGrid/>
              <w:spacing w:after="0" w:line="400" w:lineRule="exact"/>
              <w:jc w:val="center"/>
              <w:rPr>
                <w:rFonts w:ascii="Times New Roman" w:hAnsi="Times New Roman" w:eastAsia="黑体"/>
                <w:b/>
                <w:sz w:val="24"/>
                <w:lang w:eastAsia="zh-CN"/>
              </w:rPr>
            </w:pPr>
            <w:r>
              <w:rPr>
                <w:rFonts w:hint="eastAsia" w:ascii="Times New Roman" w:hAnsi="Times New Roman" w:eastAsia="黑体"/>
                <w:b w:val="0"/>
                <w:bCs/>
                <w:sz w:val="28"/>
                <w:szCs w:val="28"/>
                <w:lang w:eastAsia="zh-CN"/>
              </w:rPr>
              <w:t>十五五期间</w:t>
            </w:r>
            <w:r>
              <w:rPr>
                <w:rFonts w:ascii="Times New Roman" w:hAnsi="Times New Roman" w:eastAsia="黑体"/>
                <w:b w:val="0"/>
                <w:bCs/>
                <w:sz w:val="28"/>
                <w:szCs w:val="28"/>
                <w:lang w:eastAsia="zh-CN"/>
              </w:rPr>
              <w:t>新</w:t>
            </w:r>
            <w:r>
              <w:rPr>
                <w:rFonts w:hint="eastAsia" w:ascii="Times New Roman" w:hAnsi="Times New Roman" w:eastAsia="黑体"/>
                <w:b w:val="0"/>
                <w:bCs/>
                <w:sz w:val="28"/>
                <w:szCs w:val="28"/>
                <w:lang w:eastAsia="zh-CN"/>
              </w:rPr>
              <w:t>增</w:t>
            </w:r>
            <w:r>
              <w:rPr>
                <w:rFonts w:ascii="Times New Roman" w:hAnsi="Times New Roman" w:eastAsia="黑体"/>
                <w:b w:val="0"/>
                <w:bCs/>
                <w:sz w:val="28"/>
                <w:szCs w:val="28"/>
                <w:lang w:eastAsia="zh-CN"/>
              </w:rPr>
              <w:t>液化石油气供应站</w:t>
            </w:r>
            <w:r>
              <w:rPr>
                <w:rFonts w:hint="eastAsia" w:ascii="Times New Roman" w:hAnsi="Times New Roman" w:eastAsia="黑体"/>
                <w:b w:val="0"/>
                <w:bCs/>
                <w:sz w:val="28"/>
                <w:szCs w:val="28"/>
                <w:lang w:eastAsia="zh-CN"/>
              </w:rPr>
              <w:t>清单</w:t>
            </w:r>
          </w:p>
        </w:tc>
      </w:tr>
      <w:tr w14:paraId="34A2F356">
        <w:tblPrEx>
          <w:tblCellMar>
            <w:top w:w="0" w:type="dxa"/>
            <w:left w:w="108" w:type="dxa"/>
            <w:bottom w:w="0" w:type="dxa"/>
            <w:right w:w="108" w:type="dxa"/>
          </w:tblCellMar>
        </w:tblPrEx>
        <w:trPr>
          <w:trHeight w:val="340" w:hRule="exact"/>
          <w:jc w:val="center"/>
        </w:trPr>
        <w:tc>
          <w:tcPr>
            <w:tcW w:w="70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41FB572">
            <w:pPr>
              <w:keepNext w:val="0"/>
              <w:keepLines w:val="0"/>
              <w:pageBreakBefore w:val="0"/>
              <w:widowControl/>
              <w:kinsoku/>
              <w:wordWrap/>
              <w:overflowPunct/>
              <w:topLinePunct w:val="0"/>
              <w:autoSpaceDE/>
              <w:autoSpaceDN/>
              <w:bidi w:val="0"/>
              <w:adjustRightInd/>
              <w:snapToGrid/>
              <w:spacing w:after="0" w:line="400" w:lineRule="exact"/>
              <w:jc w:val="center"/>
              <w:rPr>
                <w:rFonts w:hint="eastAsia" w:ascii="Times New Roman" w:hAnsi="Times New Roman" w:eastAsia="黑体" w:cs="黑体"/>
                <w:color w:val="000000"/>
                <w:sz w:val="21"/>
                <w:szCs w:val="21"/>
                <w:lang w:eastAsia="zh-CN"/>
              </w:rPr>
            </w:pPr>
            <w:r>
              <w:rPr>
                <w:rFonts w:hint="eastAsia" w:ascii="Times New Roman" w:hAnsi="Times New Roman" w:eastAsia="黑体" w:cs="黑体"/>
                <w:color w:val="000000"/>
                <w:sz w:val="21"/>
                <w:szCs w:val="21"/>
                <w:lang w:eastAsia="zh-CN"/>
              </w:rPr>
              <w:t>序号</w:t>
            </w:r>
          </w:p>
        </w:tc>
        <w:tc>
          <w:tcPr>
            <w:tcW w:w="284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F808D0A">
            <w:pPr>
              <w:keepNext w:val="0"/>
              <w:keepLines w:val="0"/>
              <w:pageBreakBefore w:val="0"/>
              <w:widowControl/>
              <w:kinsoku/>
              <w:wordWrap/>
              <w:overflowPunct/>
              <w:topLinePunct w:val="0"/>
              <w:autoSpaceDE/>
              <w:autoSpaceDN/>
              <w:bidi w:val="0"/>
              <w:adjustRightInd/>
              <w:snapToGrid/>
              <w:spacing w:after="0" w:line="400" w:lineRule="exact"/>
              <w:jc w:val="center"/>
              <w:rPr>
                <w:rFonts w:hint="eastAsia" w:ascii="Times New Roman" w:hAnsi="Times New Roman" w:eastAsia="黑体" w:cs="黑体"/>
                <w:color w:val="000000"/>
                <w:sz w:val="21"/>
                <w:szCs w:val="21"/>
                <w:lang w:eastAsia="zh-CN"/>
              </w:rPr>
            </w:pPr>
            <w:r>
              <w:rPr>
                <w:rFonts w:hint="eastAsia" w:ascii="Times New Roman" w:hAnsi="Times New Roman" w:eastAsia="黑体" w:cs="黑体"/>
                <w:color w:val="000000"/>
                <w:sz w:val="21"/>
                <w:szCs w:val="21"/>
                <w:lang w:eastAsia="zh-CN"/>
              </w:rPr>
              <w:t>企业名称</w:t>
            </w:r>
          </w:p>
        </w:tc>
        <w:tc>
          <w:tcPr>
            <w:tcW w:w="171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1AF7C12">
            <w:pPr>
              <w:keepNext w:val="0"/>
              <w:keepLines w:val="0"/>
              <w:pageBreakBefore w:val="0"/>
              <w:widowControl/>
              <w:kinsoku/>
              <w:wordWrap/>
              <w:overflowPunct/>
              <w:topLinePunct w:val="0"/>
              <w:autoSpaceDE/>
              <w:autoSpaceDN/>
              <w:bidi w:val="0"/>
              <w:adjustRightInd/>
              <w:snapToGrid/>
              <w:spacing w:after="0" w:line="400" w:lineRule="exact"/>
              <w:jc w:val="center"/>
              <w:rPr>
                <w:rFonts w:hint="eastAsia" w:ascii="Times New Roman" w:hAnsi="Times New Roman" w:eastAsia="黑体" w:cs="黑体"/>
                <w:color w:val="000000"/>
                <w:sz w:val="21"/>
                <w:szCs w:val="21"/>
                <w:lang w:eastAsia="zh-CN"/>
              </w:rPr>
            </w:pPr>
            <w:r>
              <w:rPr>
                <w:rFonts w:hint="eastAsia" w:ascii="Times New Roman" w:hAnsi="Times New Roman" w:eastAsia="黑体" w:cs="黑体"/>
                <w:color w:val="000000"/>
                <w:sz w:val="21"/>
                <w:szCs w:val="21"/>
                <w:lang w:eastAsia="zh-CN"/>
              </w:rPr>
              <w:t>站名</w:t>
            </w:r>
          </w:p>
        </w:tc>
        <w:tc>
          <w:tcPr>
            <w:tcW w:w="281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437844C">
            <w:pPr>
              <w:keepNext w:val="0"/>
              <w:keepLines w:val="0"/>
              <w:pageBreakBefore w:val="0"/>
              <w:widowControl/>
              <w:kinsoku/>
              <w:wordWrap/>
              <w:overflowPunct/>
              <w:topLinePunct w:val="0"/>
              <w:autoSpaceDE/>
              <w:autoSpaceDN/>
              <w:bidi w:val="0"/>
              <w:adjustRightInd/>
              <w:snapToGrid/>
              <w:spacing w:after="0" w:line="400" w:lineRule="exact"/>
              <w:jc w:val="center"/>
              <w:rPr>
                <w:rFonts w:hint="eastAsia" w:ascii="Times New Roman" w:hAnsi="Times New Roman" w:eastAsia="黑体" w:cs="黑体"/>
                <w:color w:val="000000"/>
                <w:sz w:val="21"/>
                <w:szCs w:val="21"/>
                <w:lang w:eastAsia="zh-CN"/>
              </w:rPr>
            </w:pPr>
            <w:r>
              <w:rPr>
                <w:rFonts w:hint="eastAsia" w:ascii="Times New Roman" w:hAnsi="Times New Roman" w:eastAsia="黑体" w:cs="黑体"/>
                <w:color w:val="000000"/>
                <w:sz w:val="21"/>
                <w:szCs w:val="21"/>
                <w:lang w:eastAsia="zh-CN"/>
              </w:rPr>
              <w:t>站址</w:t>
            </w:r>
          </w:p>
        </w:tc>
        <w:tc>
          <w:tcPr>
            <w:tcW w:w="9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0DB3592">
            <w:pPr>
              <w:keepNext w:val="0"/>
              <w:keepLines w:val="0"/>
              <w:pageBreakBefore w:val="0"/>
              <w:widowControl/>
              <w:kinsoku/>
              <w:wordWrap/>
              <w:overflowPunct/>
              <w:topLinePunct w:val="0"/>
              <w:autoSpaceDE/>
              <w:autoSpaceDN/>
              <w:bidi w:val="0"/>
              <w:adjustRightInd/>
              <w:snapToGrid/>
              <w:spacing w:after="0" w:line="400" w:lineRule="exact"/>
              <w:jc w:val="center"/>
              <w:rPr>
                <w:rFonts w:hint="eastAsia" w:ascii="Times New Roman" w:hAnsi="Times New Roman" w:eastAsia="黑体" w:cs="黑体"/>
                <w:color w:val="000000"/>
                <w:sz w:val="21"/>
                <w:szCs w:val="21"/>
                <w:lang w:eastAsia="zh-CN"/>
              </w:rPr>
            </w:pPr>
            <w:r>
              <w:rPr>
                <w:rFonts w:hint="eastAsia" w:ascii="Times New Roman" w:hAnsi="Times New Roman" w:eastAsia="黑体" w:cs="黑体"/>
                <w:color w:val="000000"/>
                <w:sz w:val="21"/>
                <w:szCs w:val="21"/>
                <w:lang w:eastAsia="zh-CN"/>
              </w:rPr>
              <w:t>站等级</w:t>
            </w:r>
          </w:p>
        </w:tc>
      </w:tr>
      <w:tr w14:paraId="150BDF9D">
        <w:tblPrEx>
          <w:tblCellMar>
            <w:top w:w="0" w:type="dxa"/>
            <w:left w:w="108" w:type="dxa"/>
            <w:bottom w:w="0" w:type="dxa"/>
            <w:right w:w="108" w:type="dxa"/>
          </w:tblCellMar>
        </w:tblPrEx>
        <w:trPr>
          <w:trHeight w:val="312" w:hRule="atLeast"/>
          <w:jc w:val="center"/>
        </w:trPr>
        <w:tc>
          <w:tcPr>
            <w:tcW w:w="709" w:type="dxa"/>
            <w:vMerge w:val="continue"/>
            <w:tcBorders>
              <w:top w:val="single" w:color="auto" w:sz="4" w:space="0"/>
              <w:left w:val="single" w:color="auto" w:sz="4" w:space="0"/>
              <w:bottom w:val="single" w:color="auto" w:sz="4" w:space="0"/>
              <w:right w:val="single" w:color="auto" w:sz="4" w:space="0"/>
            </w:tcBorders>
            <w:vAlign w:val="center"/>
          </w:tcPr>
          <w:p w14:paraId="6A5E0727">
            <w:pPr>
              <w:keepNext w:val="0"/>
              <w:keepLines w:val="0"/>
              <w:pageBreakBefore w:val="0"/>
              <w:widowControl/>
              <w:kinsoku/>
              <w:wordWrap/>
              <w:overflowPunct/>
              <w:topLinePunct w:val="0"/>
              <w:autoSpaceDE/>
              <w:autoSpaceDN/>
              <w:bidi w:val="0"/>
              <w:adjustRightInd/>
              <w:snapToGrid/>
              <w:spacing w:after="0" w:line="400" w:lineRule="exact"/>
              <w:rPr>
                <w:rFonts w:hint="eastAsia" w:ascii="Times New Roman" w:hAnsi="Times New Roman" w:eastAsia="宋体" w:cs="宋体"/>
                <w:color w:val="000000"/>
                <w:sz w:val="21"/>
                <w:szCs w:val="21"/>
                <w:lang w:eastAsia="zh-CN"/>
              </w:rPr>
            </w:pPr>
          </w:p>
        </w:tc>
        <w:tc>
          <w:tcPr>
            <w:tcW w:w="2842" w:type="dxa"/>
            <w:vMerge w:val="continue"/>
            <w:tcBorders>
              <w:top w:val="single" w:color="auto" w:sz="4" w:space="0"/>
              <w:left w:val="single" w:color="auto" w:sz="4" w:space="0"/>
              <w:bottom w:val="single" w:color="auto" w:sz="4" w:space="0"/>
              <w:right w:val="single" w:color="auto" w:sz="4" w:space="0"/>
            </w:tcBorders>
            <w:vAlign w:val="center"/>
          </w:tcPr>
          <w:p w14:paraId="34454600">
            <w:pPr>
              <w:keepNext w:val="0"/>
              <w:keepLines w:val="0"/>
              <w:pageBreakBefore w:val="0"/>
              <w:widowControl/>
              <w:kinsoku/>
              <w:wordWrap/>
              <w:overflowPunct/>
              <w:topLinePunct w:val="0"/>
              <w:autoSpaceDE/>
              <w:autoSpaceDN/>
              <w:bidi w:val="0"/>
              <w:adjustRightInd/>
              <w:snapToGrid/>
              <w:spacing w:after="0" w:line="400" w:lineRule="exact"/>
              <w:rPr>
                <w:rFonts w:hint="eastAsia" w:ascii="Times New Roman" w:hAnsi="Times New Roman" w:eastAsia="宋体" w:cs="宋体"/>
                <w:color w:val="000000"/>
                <w:sz w:val="21"/>
                <w:szCs w:val="21"/>
                <w:lang w:eastAsia="zh-CN"/>
              </w:rPr>
            </w:pPr>
          </w:p>
        </w:tc>
        <w:tc>
          <w:tcPr>
            <w:tcW w:w="1710" w:type="dxa"/>
            <w:vMerge w:val="continue"/>
            <w:tcBorders>
              <w:top w:val="single" w:color="auto" w:sz="4" w:space="0"/>
              <w:left w:val="single" w:color="auto" w:sz="4" w:space="0"/>
              <w:bottom w:val="single" w:color="auto" w:sz="4" w:space="0"/>
              <w:right w:val="single" w:color="auto" w:sz="4" w:space="0"/>
            </w:tcBorders>
            <w:vAlign w:val="center"/>
          </w:tcPr>
          <w:p w14:paraId="609B37E1">
            <w:pPr>
              <w:keepNext w:val="0"/>
              <w:keepLines w:val="0"/>
              <w:pageBreakBefore w:val="0"/>
              <w:widowControl/>
              <w:kinsoku/>
              <w:wordWrap/>
              <w:overflowPunct/>
              <w:topLinePunct w:val="0"/>
              <w:autoSpaceDE/>
              <w:autoSpaceDN/>
              <w:bidi w:val="0"/>
              <w:adjustRightInd/>
              <w:snapToGrid/>
              <w:spacing w:after="0" w:line="400" w:lineRule="exact"/>
              <w:rPr>
                <w:rFonts w:hint="eastAsia" w:ascii="Times New Roman" w:hAnsi="Times New Roman" w:eastAsia="宋体" w:cs="宋体"/>
                <w:color w:val="000000"/>
                <w:sz w:val="21"/>
                <w:szCs w:val="21"/>
                <w:lang w:eastAsia="zh-CN"/>
              </w:rPr>
            </w:pPr>
          </w:p>
        </w:tc>
        <w:tc>
          <w:tcPr>
            <w:tcW w:w="2819" w:type="dxa"/>
            <w:vMerge w:val="continue"/>
            <w:tcBorders>
              <w:top w:val="single" w:color="auto" w:sz="4" w:space="0"/>
              <w:left w:val="single" w:color="auto" w:sz="4" w:space="0"/>
              <w:bottom w:val="single" w:color="auto" w:sz="4" w:space="0"/>
              <w:right w:val="single" w:color="auto" w:sz="4" w:space="0"/>
            </w:tcBorders>
            <w:vAlign w:val="center"/>
          </w:tcPr>
          <w:p w14:paraId="3DBB9053">
            <w:pPr>
              <w:keepNext w:val="0"/>
              <w:keepLines w:val="0"/>
              <w:pageBreakBefore w:val="0"/>
              <w:widowControl/>
              <w:kinsoku/>
              <w:wordWrap/>
              <w:overflowPunct/>
              <w:topLinePunct w:val="0"/>
              <w:autoSpaceDE/>
              <w:autoSpaceDN/>
              <w:bidi w:val="0"/>
              <w:adjustRightInd/>
              <w:snapToGrid/>
              <w:spacing w:after="0" w:line="400" w:lineRule="exact"/>
              <w:rPr>
                <w:rFonts w:hint="eastAsia" w:ascii="Times New Roman" w:hAnsi="Times New Roman" w:eastAsia="宋体" w:cs="宋体"/>
                <w:color w:val="000000"/>
                <w:sz w:val="21"/>
                <w:szCs w:val="21"/>
                <w:lang w:eastAsia="zh-CN"/>
              </w:rPr>
            </w:pPr>
          </w:p>
        </w:tc>
        <w:tc>
          <w:tcPr>
            <w:tcW w:w="980" w:type="dxa"/>
            <w:vMerge w:val="continue"/>
            <w:tcBorders>
              <w:top w:val="single" w:color="auto" w:sz="4" w:space="0"/>
              <w:left w:val="single" w:color="auto" w:sz="4" w:space="0"/>
              <w:bottom w:val="single" w:color="auto" w:sz="4" w:space="0"/>
              <w:right w:val="single" w:color="auto" w:sz="4" w:space="0"/>
            </w:tcBorders>
            <w:vAlign w:val="center"/>
          </w:tcPr>
          <w:p w14:paraId="5F9C94F8">
            <w:pPr>
              <w:keepNext w:val="0"/>
              <w:keepLines w:val="0"/>
              <w:pageBreakBefore w:val="0"/>
              <w:widowControl/>
              <w:kinsoku/>
              <w:wordWrap/>
              <w:overflowPunct/>
              <w:topLinePunct w:val="0"/>
              <w:autoSpaceDE/>
              <w:autoSpaceDN/>
              <w:bidi w:val="0"/>
              <w:adjustRightInd/>
              <w:snapToGrid/>
              <w:spacing w:after="0" w:line="400" w:lineRule="exact"/>
              <w:rPr>
                <w:rFonts w:hint="eastAsia" w:ascii="Times New Roman" w:hAnsi="Times New Roman" w:eastAsia="宋体" w:cs="宋体"/>
                <w:color w:val="000000"/>
                <w:sz w:val="21"/>
                <w:szCs w:val="21"/>
                <w:lang w:eastAsia="zh-CN"/>
              </w:rPr>
            </w:pPr>
          </w:p>
        </w:tc>
      </w:tr>
      <w:tr w14:paraId="0D33EF66">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038E44A2">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1</w:t>
            </w:r>
          </w:p>
        </w:tc>
        <w:tc>
          <w:tcPr>
            <w:tcW w:w="2842" w:type="dxa"/>
            <w:tcBorders>
              <w:top w:val="nil"/>
              <w:left w:val="nil"/>
              <w:bottom w:val="single" w:color="auto" w:sz="4" w:space="0"/>
              <w:right w:val="single" w:color="auto" w:sz="4" w:space="0"/>
            </w:tcBorders>
            <w:shd w:val="clear" w:color="000000" w:fill="FFFFFF"/>
            <w:vAlign w:val="center"/>
          </w:tcPr>
          <w:p w14:paraId="03EBAFFB">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苏州燃气集团液化气有限责任公司</w:t>
            </w:r>
          </w:p>
        </w:tc>
        <w:tc>
          <w:tcPr>
            <w:tcW w:w="1710" w:type="dxa"/>
            <w:tcBorders>
              <w:top w:val="nil"/>
              <w:left w:val="nil"/>
              <w:bottom w:val="single" w:color="auto" w:sz="4" w:space="0"/>
              <w:right w:val="single" w:color="auto" w:sz="4" w:space="0"/>
            </w:tcBorders>
            <w:shd w:val="clear" w:color="000000" w:fill="FFFFFF"/>
            <w:vAlign w:val="center"/>
          </w:tcPr>
          <w:p w14:paraId="03CADB59">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北桥服务站</w:t>
            </w:r>
          </w:p>
        </w:tc>
        <w:tc>
          <w:tcPr>
            <w:tcW w:w="2819" w:type="dxa"/>
            <w:tcBorders>
              <w:top w:val="nil"/>
              <w:left w:val="nil"/>
              <w:bottom w:val="single" w:color="auto" w:sz="4" w:space="0"/>
              <w:right w:val="single" w:color="auto" w:sz="4" w:space="0"/>
            </w:tcBorders>
            <w:vAlign w:val="center"/>
          </w:tcPr>
          <w:p w14:paraId="184D8A6D">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相城区</w:t>
            </w:r>
            <w:r>
              <w:rPr>
                <w:rFonts w:ascii="Times New Roman" w:hAnsi="Times New Roman" w:eastAsia="仿宋_GB2312" w:cs="仿宋_GB2312"/>
                <w:sz w:val="24"/>
                <w:szCs w:val="24"/>
                <w:lang w:eastAsia="zh-CN" w:bidi="ar"/>
              </w:rPr>
              <w:t>北桥街道聚峰路原恒生储配站内</w:t>
            </w:r>
          </w:p>
        </w:tc>
        <w:tc>
          <w:tcPr>
            <w:tcW w:w="980" w:type="dxa"/>
            <w:tcBorders>
              <w:top w:val="nil"/>
              <w:left w:val="nil"/>
              <w:bottom w:val="single" w:color="auto" w:sz="4" w:space="0"/>
              <w:right w:val="single" w:color="auto" w:sz="4" w:space="0"/>
            </w:tcBorders>
            <w:vAlign w:val="center"/>
          </w:tcPr>
          <w:p w14:paraId="71C427B3">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r w14:paraId="63777054">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1C73C8CA">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2</w:t>
            </w:r>
          </w:p>
        </w:tc>
        <w:tc>
          <w:tcPr>
            <w:tcW w:w="2842" w:type="dxa"/>
            <w:tcBorders>
              <w:top w:val="nil"/>
              <w:left w:val="nil"/>
              <w:bottom w:val="single" w:color="auto" w:sz="4" w:space="0"/>
              <w:right w:val="single" w:color="auto" w:sz="4" w:space="0"/>
            </w:tcBorders>
            <w:shd w:val="clear" w:color="000000" w:fill="FFFFFF"/>
            <w:vAlign w:val="center"/>
          </w:tcPr>
          <w:p w14:paraId="20EAB1B8">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苏州燃气集团液化气有限责任公司</w:t>
            </w:r>
          </w:p>
        </w:tc>
        <w:tc>
          <w:tcPr>
            <w:tcW w:w="1710" w:type="dxa"/>
            <w:tcBorders>
              <w:top w:val="nil"/>
              <w:left w:val="nil"/>
              <w:bottom w:val="single" w:color="auto" w:sz="4" w:space="0"/>
              <w:right w:val="single" w:color="auto" w:sz="4" w:space="0"/>
            </w:tcBorders>
            <w:vAlign w:val="center"/>
          </w:tcPr>
          <w:p w14:paraId="66B0AC7E">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东桥服务站</w:t>
            </w:r>
          </w:p>
        </w:tc>
        <w:tc>
          <w:tcPr>
            <w:tcW w:w="2819" w:type="dxa"/>
            <w:tcBorders>
              <w:top w:val="nil"/>
              <w:left w:val="nil"/>
              <w:bottom w:val="single" w:color="auto" w:sz="4" w:space="0"/>
              <w:right w:val="single" w:color="auto" w:sz="4" w:space="0"/>
            </w:tcBorders>
            <w:vAlign w:val="center"/>
          </w:tcPr>
          <w:p w14:paraId="22D65702">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相城区</w:t>
            </w:r>
            <w:r>
              <w:rPr>
                <w:rFonts w:ascii="Times New Roman" w:hAnsi="Times New Roman" w:eastAsia="仿宋_GB2312" w:cs="仿宋_GB2312"/>
                <w:sz w:val="24"/>
                <w:szCs w:val="24"/>
                <w:lang w:eastAsia="zh-CN" w:bidi="ar"/>
              </w:rPr>
              <w:t>黄埭镇东桥东大桥东堍河南侧</w:t>
            </w:r>
          </w:p>
        </w:tc>
        <w:tc>
          <w:tcPr>
            <w:tcW w:w="980" w:type="dxa"/>
            <w:tcBorders>
              <w:top w:val="nil"/>
              <w:left w:val="nil"/>
              <w:bottom w:val="single" w:color="auto" w:sz="4" w:space="0"/>
              <w:right w:val="single" w:color="auto" w:sz="4" w:space="0"/>
            </w:tcBorders>
            <w:vAlign w:val="center"/>
          </w:tcPr>
          <w:p w14:paraId="13D4BD86">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r w14:paraId="54E9F3DB">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781D3E9F">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3</w:t>
            </w:r>
          </w:p>
        </w:tc>
        <w:tc>
          <w:tcPr>
            <w:tcW w:w="2842" w:type="dxa"/>
            <w:tcBorders>
              <w:top w:val="nil"/>
              <w:left w:val="nil"/>
              <w:bottom w:val="single" w:color="auto" w:sz="4" w:space="0"/>
              <w:right w:val="single" w:color="auto" w:sz="4" w:space="0"/>
            </w:tcBorders>
            <w:shd w:val="clear" w:color="000000" w:fill="FFFFFF"/>
            <w:vAlign w:val="center"/>
          </w:tcPr>
          <w:p w14:paraId="14F8607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苏州燃气集团液化气有限责任公司</w:t>
            </w:r>
          </w:p>
        </w:tc>
        <w:tc>
          <w:tcPr>
            <w:tcW w:w="1710" w:type="dxa"/>
            <w:tcBorders>
              <w:top w:val="nil"/>
              <w:left w:val="nil"/>
              <w:bottom w:val="single" w:color="auto" w:sz="4" w:space="0"/>
              <w:right w:val="single" w:color="auto" w:sz="4" w:space="0"/>
            </w:tcBorders>
            <w:vAlign w:val="center"/>
          </w:tcPr>
          <w:p w14:paraId="179A3F4E">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四旺村服务站</w:t>
            </w:r>
          </w:p>
        </w:tc>
        <w:tc>
          <w:tcPr>
            <w:tcW w:w="2819" w:type="dxa"/>
            <w:tcBorders>
              <w:top w:val="nil"/>
              <w:left w:val="nil"/>
              <w:bottom w:val="single" w:color="auto" w:sz="4" w:space="0"/>
              <w:right w:val="single" w:color="auto" w:sz="4" w:space="0"/>
            </w:tcBorders>
            <w:vAlign w:val="center"/>
          </w:tcPr>
          <w:p w14:paraId="137B470A">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相城区</w:t>
            </w:r>
            <w:r>
              <w:rPr>
                <w:rFonts w:ascii="Times New Roman" w:hAnsi="Times New Roman" w:eastAsia="仿宋_GB2312" w:cs="仿宋_GB2312"/>
                <w:sz w:val="24"/>
                <w:szCs w:val="24"/>
                <w:lang w:eastAsia="zh-CN" w:bidi="ar"/>
              </w:rPr>
              <w:t>望亭镇四旺村问渡路停车场内</w:t>
            </w:r>
          </w:p>
        </w:tc>
        <w:tc>
          <w:tcPr>
            <w:tcW w:w="980" w:type="dxa"/>
            <w:tcBorders>
              <w:top w:val="nil"/>
              <w:left w:val="nil"/>
              <w:bottom w:val="single" w:color="auto" w:sz="4" w:space="0"/>
              <w:right w:val="single" w:color="auto" w:sz="4" w:space="0"/>
            </w:tcBorders>
            <w:vAlign w:val="center"/>
          </w:tcPr>
          <w:p w14:paraId="7B610AD8">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r w14:paraId="37FEE886">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2E3D0E46">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4</w:t>
            </w:r>
          </w:p>
        </w:tc>
        <w:tc>
          <w:tcPr>
            <w:tcW w:w="2842" w:type="dxa"/>
            <w:tcBorders>
              <w:top w:val="nil"/>
              <w:left w:val="nil"/>
              <w:bottom w:val="single" w:color="auto" w:sz="4" w:space="0"/>
              <w:right w:val="single" w:color="auto" w:sz="4" w:space="0"/>
            </w:tcBorders>
            <w:noWrap/>
            <w:vAlign w:val="center"/>
          </w:tcPr>
          <w:p w14:paraId="7759549D">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苏州燃气集团液化气有限责任公司</w:t>
            </w:r>
          </w:p>
        </w:tc>
        <w:tc>
          <w:tcPr>
            <w:tcW w:w="1710" w:type="dxa"/>
            <w:tcBorders>
              <w:top w:val="nil"/>
              <w:left w:val="nil"/>
              <w:bottom w:val="single" w:color="auto" w:sz="4" w:space="0"/>
              <w:right w:val="single" w:color="auto" w:sz="4" w:space="0"/>
            </w:tcBorders>
            <w:vAlign w:val="center"/>
          </w:tcPr>
          <w:p w14:paraId="39100C4A">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太平盛泽服务站</w:t>
            </w:r>
          </w:p>
        </w:tc>
        <w:tc>
          <w:tcPr>
            <w:tcW w:w="2819" w:type="dxa"/>
            <w:tcBorders>
              <w:top w:val="nil"/>
              <w:left w:val="nil"/>
              <w:bottom w:val="single" w:color="auto" w:sz="4" w:space="0"/>
              <w:right w:val="single" w:color="auto" w:sz="4" w:space="0"/>
            </w:tcBorders>
            <w:vAlign w:val="center"/>
          </w:tcPr>
          <w:p w14:paraId="37B43319">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相城区</w:t>
            </w:r>
            <w:r>
              <w:rPr>
                <w:rFonts w:ascii="Times New Roman" w:hAnsi="Times New Roman" w:eastAsia="仿宋_GB2312" w:cs="仿宋_GB2312"/>
                <w:sz w:val="24"/>
                <w:szCs w:val="24"/>
                <w:lang w:eastAsia="zh-CN" w:bidi="ar"/>
              </w:rPr>
              <w:t>太平街道富升路盛泽村村委会东</w:t>
            </w:r>
          </w:p>
        </w:tc>
        <w:tc>
          <w:tcPr>
            <w:tcW w:w="980" w:type="dxa"/>
            <w:tcBorders>
              <w:top w:val="nil"/>
              <w:left w:val="nil"/>
              <w:bottom w:val="single" w:color="auto" w:sz="4" w:space="0"/>
              <w:right w:val="single" w:color="auto" w:sz="4" w:space="0"/>
            </w:tcBorders>
            <w:vAlign w:val="center"/>
          </w:tcPr>
          <w:p w14:paraId="1719131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r w14:paraId="1E611E11">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492B1DDE">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5</w:t>
            </w:r>
          </w:p>
        </w:tc>
        <w:tc>
          <w:tcPr>
            <w:tcW w:w="2842" w:type="dxa"/>
            <w:tcBorders>
              <w:top w:val="nil"/>
              <w:left w:val="nil"/>
              <w:bottom w:val="single" w:color="auto" w:sz="4" w:space="0"/>
              <w:right w:val="single" w:color="auto" w:sz="4" w:space="0"/>
            </w:tcBorders>
            <w:noWrap/>
            <w:vAlign w:val="center"/>
          </w:tcPr>
          <w:p w14:paraId="1625A88A">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苏州泰华燃气有限公司</w:t>
            </w:r>
          </w:p>
        </w:tc>
        <w:tc>
          <w:tcPr>
            <w:tcW w:w="1710" w:type="dxa"/>
            <w:tcBorders>
              <w:top w:val="nil"/>
              <w:left w:val="nil"/>
              <w:bottom w:val="single" w:color="auto" w:sz="4" w:space="0"/>
              <w:right w:val="single" w:color="auto" w:sz="4" w:space="0"/>
            </w:tcBorders>
            <w:vAlign w:val="center"/>
          </w:tcPr>
          <w:p w14:paraId="3DBF7646">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西庄服务站</w:t>
            </w:r>
          </w:p>
        </w:tc>
        <w:tc>
          <w:tcPr>
            <w:tcW w:w="2819" w:type="dxa"/>
            <w:tcBorders>
              <w:top w:val="nil"/>
              <w:left w:val="nil"/>
              <w:bottom w:val="single" w:color="auto" w:sz="4" w:space="0"/>
              <w:right w:val="single" w:color="auto" w:sz="4" w:space="0"/>
            </w:tcBorders>
            <w:vAlign w:val="center"/>
          </w:tcPr>
          <w:p w14:paraId="7529217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相城区</w:t>
            </w:r>
            <w:r>
              <w:rPr>
                <w:rFonts w:ascii="Times New Roman" w:hAnsi="Times New Roman" w:eastAsia="仿宋_GB2312" w:cs="仿宋_GB2312"/>
                <w:sz w:val="24"/>
                <w:szCs w:val="24"/>
                <w:lang w:eastAsia="zh-CN" w:bidi="ar"/>
              </w:rPr>
              <w:t>黄埭镇西庄小区南</w:t>
            </w:r>
          </w:p>
        </w:tc>
        <w:tc>
          <w:tcPr>
            <w:tcW w:w="980" w:type="dxa"/>
            <w:tcBorders>
              <w:top w:val="nil"/>
              <w:left w:val="nil"/>
              <w:bottom w:val="single" w:color="auto" w:sz="4" w:space="0"/>
              <w:right w:val="single" w:color="auto" w:sz="4" w:space="0"/>
            </w:tcBorders>
            <w:vAlign w:val="center"/>
          </w:tcPr>
          <w:p w14:paraId="45F68BE1">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r w14:paraId="18410281">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0ECB382A">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6</w:t>
            </w:r>
          </w:p>
        </w:tc>
        <w:tc>
          <w:tcPr>
            <w:tcW w:w="2842" w:type="dxa"/>
            <w:tcBorders>
              <w:top w:val="nil"/>
              <w:left w:val="nil"/>
              <w:bottom w:val="single" w:color="auto" w:sz="4" w:space="0"/>
              <w:right w:val="single" w:color="auto" w:sz="4" w:space="0"/>
            </w:tcBorders>
            <w:noWrap/>
            <w:vAlign w:val="center"/>
          </w:tcPr>
          <w:p w14:paraId="25364966">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苏州泰华燃气有限公司</w:t>
            </w:r>
          </w:p>
        </w:tc>
        <w:tc>
          <w:tcPr>
            <w:tcW w:w="1710" w:type="dxa"/>
            <w:tcBorders>
              <w:top w:val="nil"/>
              <w:left w:val="nil"/>
              <w:bottom w:val="single" w:color="auto" w:sz="4" w:space="0"/>
              <w:right w:val="single" w:color="auto" w:sz="4" w:space="0"/>
            </w:tcBorders>
            <w:vAlign w:val="center"/>
          </w:tcPr>
          <w:p w14:paraId="2EAA92FD">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苏州泰华燃气有限公司苏液服务站</w:t>
            </w:r>
          </w:p>
        </w:tc>
        <w:tc>
          <w:tcPr>
            <w:tcW w:w="2819" w:type="dxa"/>
            <w:tcBorders>
              <w:top w:val="nil"/>
              <w:left w:val="nil"/>
              <w:bottom w:val="single" w:color="auto" w:sz="4" w:space="0"/>
              <w:right w:val="single" w:color="auto" w:sz="4" w:space="0"/>
            </w:tcBorders>
            <w:vAlign w:val="center"/>
          </w:tcPr>
          <w:p w14:paraId="60D5D1F2">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相城区</w:t>
            </w:r>
            <w:r>
              <w:rPr>
                <w:rFonts w:ascii="Times New Roman" w:hAnsi="Times New Roman" w:eastAsia="仿宋_GB2312" w:cs="仿宋_GB2312"/>
                <w:sz w:val="24"/>
                <w:szCs w:val="24"/>
                <w:lang w:eastAsia="zh-CN" w:bidi="ar"/>
              </w:rPr>
              <w:t>元和街道娄北社区高家角外浜</w:t>
            </w:r>
          </w:p>
        </w:tc>
        <w:tc>
          <w:tcPr>
            <w:tcW w:w="980" w:type="dxa"/>
            <w:tcBorders>
              <w:top w:val="nil"/>
              <w:left w:val="nil"/>
              <w:bottom w:val="single" w:color="auto" w:sz="4" w:space="0"/>
              <w:right w:val="single" w:color="auto" w:sz="4" w:space="0"/>
            </w:tcBorders>
            <w:vAlign w:val="center"/>
          </w:tcPr>
          <w:p w14:paraId="05E4092F">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r w14:paraId="56304EB9">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1109CBB5">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7</w:t>
            </w:r>
          </w:p>
        </w:tc>
        <w:tc>
          <w:tcPr>
            <w:tcW w:w="2842" w:type="dxa"/>
            <w:tcBorders>
              <w:top w:val="nil"/>
              <w:left w:val="nil"/>
              <w:bottom w:val="single" w:color="auto" w:sz="4" w:space="0"/>
              <w:right w:val="single" w:color="auto" w:sz="4" w:space="0"/>
            </w:tcBorders>
            <w:shd w:val="clear" w:color="000000" w:fill="FFFFFF"/>
            <w:vAlign w:val="center"/>
          </w:tcPr>
          <w:p w14:paraId="3FD8A51D">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苏州泰华燃气有限公司</w:t>
            </w:r>
          </w:p>
        </w:tc>
        <w:tc>
          <w:tcPr>
            <w:tcW w:w="1710" w:type="dxa"/>
            <w:tcBorders>
              <w:top w:val="nil"/>
              <w:left w:val="nil"/>
              <w:bottom w:val="single" w:color="auto" w:sz="4" w:space="0"/>
              <w:right w:val="single" w:color="auto" w:sz="4" w:space="0"/>
            </w:tcBorders>
            <w:vAlign w:val="center"/>
          </w:tcPr>
          <w:p w14:paraId="75431283">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望亭服务站</w:t>
            </w:r>
          </w:p>
        </w:tc>
        <w:tc>
          <w:tcPr>
            <w:tcW w:w="2819" w:type="dxa"/>
            <w:tcBorders>
              <w:top w:val="nil"/>
              <w:left w:val="nil"/>
              <w:bottom w:val="single" w:color="auto" w:sz="4" w:space="0"/>
              <w:right w:val="single" w:color="auto" w:sz="4" w:space="0"/>
            </w:tcBorders>
            <w:vAlign w:val="center"/>
          </w:tcPr>
          <w:p w14:paraId="292A28A6">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相城区</w:t>
            </w:r>
            <w:r>
              <w:rPr>
                <w:rFonts w:ascii="Times New Roman" w:hAnsi="Times New Roman" w:eastAsia="仿宋_GB2312" w:cs="仿宋_GB2312"/>
                <w:sz w:val="24"/>
                <w:szCs w:val="24"/>
                <w:lang w:eastAsia="zh-CN" w:bidi="ar"/>
              </w:rPr>
              <w:t>望亭镇新梗村邵埂上</w:t>
            </w:r>
          </w:p>
        </w:tc>
        <w:tc>
          <w:tcPr>
            <w:tcW w:w="980" w:type="dxa"/>
            <w:tcBorders>
              <w:top w:val="nil"/>
              <w:left w:val="nil"/>
              <w:bottom w:val="single" w:color="auto" w:sz="4" w:space="0"/>
              <w:right w:val="single" w:color="auto" w:sz="4" w:space="0"/>
            </w:tcBorders>
            <w:vAlign w:val="center"/>
          </w:tcPr>
          <w:p w14:paraId="516621E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r w14:paraId="00E89083">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1648EFF1">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8</w:t>
            </w:r>
          </w:p>
        </w:tc>
        <w:tc>
          <w:tcPr>
            <w:tcW w:w="2842" w:type="dxa"/>
            <w:tcBorders>
              <w:top w:val="nil"/>
              <w:left w:val="nil"/>
              <w:bottom w:val="single" w:color="auto" w:sz="4" w:space="0"/>
              <w:right w:val="single" w:color="auto" w:sz="4" w:space="0"/>
            </w:tcBorders>
            <w:noWrap/>
            <w:vAlign w:val="center"/>
          </w:tcPr>
          <w:p w14:paraId="0729B723">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苏州泰华燃气有限公司</w:t>
            </w:r>
          </w:p>
        </w:tc>
        <w:tc>
          <w:tcPr>
            <w:tcW w:w="1710" w:type="dxa"/>
            <w:tcBorders>
              <w:top w:val="nil"/>
              <w:left w:val="nil"/>
              <w:bottom w:val="single" w:color="auto" w:sz="4" w:space="0"/>
              <w:right w:val="single" w:color="auto" w:sz="4" w:space="0"/>
            </w:tcBorders>
            <w:vAlign w:val="center"/>
          </w:tcPr>
          <w:p w14:paraId="6663713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沈桥服务站</w:t>
            </w:r>
          </w:p>
        </w:tc>
        <w:tc>
          <w:tcPr>
            <w:tcW w:w="2819" w:type="dxa"/>
            <w:tcBorders>
              <w:top w:val="nil"/>
              <w:left w:val="nil"/>
              <w:bottom w:val="single" w:color="auto" w:sz="4" w:space="0"/>
              <w:right w:val="single" w:color="auto" w:sz="4" w:space="0"/>
            </w:tcBorders>
            <w:vAlign w:val="center"/>
          </w:tcPr>
          <w:p w14:paraId="0FFBFB7E">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相城区</w:t>
            </w:r>
            <w:r>
              <w:rPr>
                <w:rFonts w:ascii="Times New Roman" w:hAnsi="Times New Roman" w:eastAsia="仿宋_GB2312" w:cs="仿宋_GB2312"/>
                <w:sz w:val="24"/>
                <w:szCs w:val="24"/>
                <w:lang w:eastAsia="zh-CN" w:bidi="ar"/>
              </w:rPr>
              <w:t>太平街道沈桥村蚬山公交首末站旁</w:t>
            </w:r>
          </w:p>
        </w:tc>
        <w:tc>
          <w:tcPr>
            <w:tcW w:w="980" w:type="dxa"/>
            <w:tcBorders>
              <w:top w:val="nil"/>
              <w:left w:val="nil"/>
              <w:bottom w:val="single" w:color="auto" w:sz="4" w:space="0"/>
              <w:right w:val="single" w:color="auto" w:sz="4" w:space="0"/>
            </w:tcBorders>
            <w:vAlign w:val="center"/>
          </w:tcPr>
          <w:p w14:paraId="50EBCB71">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三级</w:t>
            </w:r>
          </w:p>
        </w:tc>
      </w:tr>
      <w:tr w14:paraId="40A01E80">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74FC98A0">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9</w:t>
            </w:r>
          </w:p>
        </w:tc>
        <w:tc>
          <w:tcPr>
            <w:tcW w:w="2842" w:type="dxa"/>
            <w:tcBorders>
              <w:top w:val="nil"/>
              <w:left w:val="nil"/>
              <w:bottom w:val="single" w:color="auto" w:sz="4" w:space="0"/>
              <w:right w:val="single" w:color="auto" w:sz="4" w:space="0"/>
            </w:tcBorders>
            <w:shd w:val="clear" w:color="000000" w:fill="FFFFFF"/>
            <w:vAlign w:val="center"/>
          </w:tcPr>
          <w:p w14:paraId="19782452">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苏州泰华燃气有限公司</w:t>
            </w:r>
          </w:p>
        </w:tc>
        <w:tc>
          <w:tcPr>
            <w:tcW w:w="1710" w:type="dxa"/>
            <w:tcBorders>
              <w:top w:val="nil"/>
              <w:left w:val="nil"/>
              <w:bottom w:val="single" w:color="auto" w:sz="4" w:space="0"/>
              <w:right w:val="single" w:color="auto" w:sz="4" w:space="0"/>
            </w:tcBorders>
            <w:vAlign w:val="center"/>
          </w:tcPr>
          <w:p w14:paraId="311615E9">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沺泾服务站</w:t>
            </w:r>
          </w:p>
        </w:tc>
        <w:tc>
          <w:tcPr>
            <w:tcW w:w="2819" w:type="dxa"/>
            <w:tcBorders>
              <w:top w:val="nil"/>
              <w:left w:val="nil"/>
              <w:bottom w:val="single" w:color="auto" w:sz="4" w:space="0"/>
              <w:right w:val="single" w:color="auto" w:sz="4" w:space="0"/>
            </w:tcBorders>
            <w:vAlign w:val="center"/>
          </w:tcPr>
          <w:p w14:paraId="3753675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相城区</w:t>
            </w:r>
            <w:r>
              <w:rPr>
                <w:rFonts w:ascii="Times New Roman" w:hAnsi="Times New Roman" w:eastAsia="仿宋_GB2312" w:cs="仿宋_GB2312"/>
                <w:sz w:val="24"/>
                <w:szCs w:val="24"/>
                <w:lang w:eastAsia="zh-CN" w:bidi="ar"/>
              </w:rPr>
              <w:t>阳澄湖镇</w:t>
            </w:r>
            <w:r>
              <w:rPr>
                <w:rFonts w:ascii="Times New Roman" w:hAnsi="Times New Roman" w:eastAsia="仿宋_GB2312" w:cs="仿宋_GB2312"/>
                <w:sz w:val="24"/>
                <w:szCs w:val="24"/>
                <w:lang w:eastAsia="zh-CN" w:bidi="ar"/>
              </w:rPr>
              <w:br w:type="textWrapping"/>
            </w:r>
            <w:r>
              <w:rPr>
                <w:rFonts w:ascii="Times New Roman" w:hAnsi="Times New Roman" w:eastAsia="仿宋_GB2312" w:cs="仿宋_GB2312"/>
                <w:sz w:val="24"/>
                <w:szCs w:val="24"/>
                <w:lang w:eastAsia="zh-CN" w:bidi="ar"/>
              </w:rPr>
              <w:t>洋沟溇村周家浜37号</w:t>
            </w:r>
          </w:p>
        </w:tc>
        <w:tc>
          <w:tcPr>
            <w:tcW w:w="980" w:type="dxa"/>
            <w:tcBorders>
              <w:top w:val="nil"/>
              <w:left w:val="nil"/>
              <w:bottom w:val="single" w:color="auto" w:sz="4" w:space="0"/>
              <w:right w:val="single" w:color="auto" w:sz="4" w:space="0"/>
            </w:tcBorders>
            <w:vAlign w:val="center"/>
          </w:tcPr>
          <w:p w14:paraId="15B0F47D">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r w14:paraId="444CA85B">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59BEEC17">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10</w:t>
            </w:r>
          </w:p>
        </w:tc>
        <w:tc>
          <w:tcPr>
            <w:tcW w:w="2842" w:type="dxa"/>
            <w:tcBorders>
              <w:top w:val="nil"/>
              <w:left w:val="nil"/>
              <w:bottom w:val="single" w:color="auto" w:sz="4" w:space="0"/>
              <w:right w:val="single" w:color="auto" w:sz="4" w:space="0"/>
            </w:tcBorders>
            <w:shd w:val="clear" w:color="000000" w:fill="FFFFFF"/>
            <w:vAlign w:val="center"/>
          </w:tcPr>
          <w:p w14:paraId="0C741529">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苏州泰华燃气有限公司</w:t>
            </w:r>
          </w:p>
        </w:tc>
        <w:tc>
          <w:tcPr>
            <w:tcW w:w="1710" w:type="dxa"/>
            <w:tcBorders>
              <w:top w:val="nil"/>
              <w:left w:val="nil"/>
              <w:bottom w:val="single" w:color="auto" w:sz="4" w:space="0"/>
              <w:right w:val="single" w:color="auto" w:sz="4" w:space="0"/>
            </w:tcBorders>
            <w:vAlign w:val="center"/>
          </w:tcPr>
          <w:p w14:paraId="5C5C8176">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科技城供应站</w:t>
            </w:r>
          </w:p>
        </w:tc>
        <w:tc>
          <w:tcPr>
            <w:tcW w:w="2819" w:type="dxa"/>
            <w:tcBorders>
              <w:top w:val="nil"/>
              <w:left w:val="nil"/>
              <w:bottom w:val="single" w:color="auto" w:sz="4" w:space="0"/>
              <w:right w:val="single" w:color="auto" w:sz="4" w:space="0"/>
            </w:tcBorders>
            <w:vAlign w:val="center"/>
          </w:tcPr>
          <w:p w14:paraId="63DF7537">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苏州高新区</w:t>
            </w:r>
            <w:r>
              <w:rPr>
                <w:rFonts w:ascii="Times New Roman" w:hAnsi="Times New Roman" w:eastAsia="仿宋_GB2312" w:cs="仿宋_GB2312"/>
                <w:sz w:val="24"/>
                <w:szCs w:val="24"/>
                <w:lang w:eastAsia="zh-CN" w:bidi="ar"/>
              </w:rPr>
              <w:t>通安镇湖交界处</w:t>
            </w:r>
          </w:p>
        </w:tc>
        <w:tc>
          <w:tcPr>
            <w:tcW w:w="980" w:type="dxa"/>
            <w:tcBorders>
              <w:top w:val="nil"/>
              <w:left w:val="nil"/>
              <w:bottom w:val="single" w:color="auto" w:sz="4" w:space="0"/>
              <w:right w:val="single" w:color="auto" w:sz="4" w:space="0"/>
            </w:tcBorders>
            <w:vAlign w:val="center"/>
          </w:tcPr>
          <w:p w14:paraId="0EA0A7A9">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三级</w:t>
            </w:r>
          </w:p>
        </w:tc>
      </w:tr>
      <w:tr w14:paraId="23ABC44B">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4BE37A1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11</w:t>
            </w:r>
          </w:p>
        </w:tc>
        <w:tc>
          <w:tcPr>
            <w:tcW w:w="2842" w:type="dxa"/>
            <w:tcBorders>
              <w:top w:val="nil"/>
              <w:left w:val="nil"/>
              <w:bottom w:val="single" w:color="auto" w:sz="4" w:space="0"/>
              <w:right w:val="single" w:color="auto" w:sz="4" w:space="0"/>
            </w:tcBorders>
            <w:shd w:val="clear" w:color="000000" w:fill="FFFFFF"/>
            <w:vAlign w:val="center"/>
          </w:tcPr>
          <w:p w14:paraId="70D04FD9">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苏州泰华燃气有限公司</w:t>
            </w:r>
          </w:p>
        </w:tc>
        <w:tc>
          <w:tcPr>
            <w:tcW w:w="1710" w:type="dxa"/>
            <w:tcBorders>
              <w:top w:val="nil"/>
              <w:left w:val="nil"/>
              <w:bottom w:val="single" w:color="auto" w:sz="4" w:space="0"/>
              <w:right w:val="single" w:color="auto" w:sz="4" w:space="0"/>
            </w:tcBorders>
            <w:vAlign w:val="center"/>
          </w:tcPr>
          <w:p w14:paraId="02942335">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观山罐场供应站</w:t>
            </w:r>
          </w:p>
        </w:tc>
        <w:tc>
          <w:tcPr>
            <w:tcW w:w="2819" w:type="dxa"/>
            <w:tcBorders>
              <w:top w:val="nil"/>
              <w:left w:val="nil"/>
              <w:bottom w:val="single" w:color="auto" w:sz="4" w:space="0"/>
              <w:right w:val="single" w:color="auto" w:sz="4" w:space="0"/>
            </w:tcBorders>
            <w:vAlign w:val="center"/>
          </w:tcPr>
          <w:p w14:paraId="081766F9">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苏州高新区</w:t>
            </w:r>
            <w:r>
              <w:rPr>
                <w:rFonts w:ascii="Times New Roman" w:hAnsi="Times New Roman" w:eastAsia="仿宋_GB2312" w:cs="仿宋_GB2312"/>
                <w:sz w:val="24"/>
                <w:szCs w:val="24"/>
                <w:lang w:eastAsia="zh-CN" w:bidi="ar"/>
              </w:rPr>
              <w:t>观山罐场附近</w:t>
            </w:r>
          </w:p>
        </w:tc>
        <w:tc>
          <w:tcPr>
            <w:tcW w:w="980" w:type="dxa"/>
            <w:tcBorders>
              <w:top w:val="nil"/>
              <w:left w:val="nil"/>
              <w:bottom w:val="single" w:color="auto" w:sz="4" w:space="0"/>
              <w:right w:val="single" w:color="auto" w:sz="4" w:space="0"/>
            </w:tcBorders>
            <w:vAlign w:val="center"/>
          </w:tcPr>
          <w:p w14:paraId="04D61336">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三级</w:t>
            </w:r>
          </w:p>
        </w:tc>
      </w:tr>
      <w:tr w14:paraId="34E6D506">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0F9638F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12</w:t>
            </w:r>
          </w:p>
        </w:tc>
        <w:tc>
          <w:tcPr>
            <w:tcW w:w="2842" w:type="dxa"/>
            <w:tcBorders>
              <w:top w:val="nil"/>
              <w:left w:val="nil"/>
              <w:bottom w:val="single" w:color="auto" w:sz="4" w:space="0"/>
              <w:right w:val="single" w:color="auto" w:sz="4" w:space="0"/>
            </w:tcBorders>
            <w:shd w:val="clear" w:color="000000" w:fill="FFFFFF"/>
            <w:vAlign w:val="center"/>
          </w:tcPr>
          <w:p w14:paraId="1114CFED">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常熟永联燃气有限公司</w:t>
            </w:r>
          </w:p>
        </w:tc>
        <w:tc>
          <w:tcPr>
            <w:tcW w:w="1710" w:type="dxa"/>
            <w:tcBorders>
              <w:top w:val="nil"/>
              <w:left w:val="nil"/>
              <w:bottom w:val="single" w:color="auto" w:sz="4" w:space="0"/>
              <w:right w:val="single" w:color="auto" w:sz="4" w:space="0"/>
            </w:tcBorders>
            <w:vAlign w:val="center"/>
          </w:tcPr>
          <w:p w14:paraId="6679694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家鑫村液化气服务站</w:t>
            </w:r>
          </w:p>
        </w:tc>
        <w:tc>
          <w:tcPr>
            <w:tcW w:w="2819" w:type="dxa"/>
            <w:tcBorders>
              <w:top w:val="nil"/>
              <w:left w:val="nil"/>
              <w:bottom w:val="single" w:color="auto" w:sz="4" w:space="0"/>
              <w:right w:val="single" w:color="auto" w:sz="4" w:space="0"/>
            </w:tcBorders>
            <w:vAlign w:val="center"/>
          </w:tcPr>
          <w:p w14:paraId="5AC97D45">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常熟市</w:t>
            </w:r>
            <w:r>
              <w:rPr>
                <w:rFonts w:ascii="Times New Roman" w:hAnsi="Times New Roman" w:eastAsia="仿宋_GB2312" w:cs="仿宋_GB2312"/>
                <w:sz w:val="24"/>
                <w:szCs w:val="24"/>
                <w:lang w:eastAsia="zh-CN" w:bidi="ar"/>
              </w:rPr>
              <w:t>王金路以东、芦鑫路以北</w:t>
            </w:r>
          </w:p>
        </w:tc>
        <w:tc>
          <w:tcPr>
            <w:tcW w:w="980" w:type="dxa"/>
            <w:tcBorders>
              <w:top w:val="nil"/>
              <w:left w:val="nil"/>
              <w:bottom w:val="single" w:color="auto" w:sz="4" w:space="0"/>
              <w:right w:val="single" w:color="auto" w:sz="4" w:space="0"/>
            </w:tcBorders>
            <w:vAlign w:val="center"/>
          </w:tcPr>
          <w:p w14:paraId="7ED7B926">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r w14:paraId="730D5546">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16872884">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13</w:t>
            </w:r>
          </w:p>
        </w:tc>
        <w:tc>
          <w:tcPr>
            <w:tcW w:w="2842" w:type="dxa"/>
            <w:tcBorders>
              <w:top w:val="nil"/>
              <w:left w:val="nil"/>
              <w:bottom w:val="single" w:color="auto" w:sz="4" w:space="0"/>
              <w:right w:val="single" w:color="auto" w:sz="4" w:space="0"/>
            </w:tcBorders>
            <w:shd w:val="clear" w:color="000000" w:fill="FFFFFF"/>
            <w:vAlign w:val="center"/>
          </w:tcPr>
          <w:p w14:paraId="5A2A018E">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p>
        </w:tc>
        <w:tc>
          <w:tcPr>
            <w:tcW w:w="1710" w:type="dxa"/>
            <w:tcBorders>
              <w:top w:val="nil"/>
              <w:left w:val="nil"/>
              <w:bottom w:val="single" w:color="auto" w:sz="4" w:space="0"/>
              <w:right w:val="single" w:color="auto" w:sz="4" w:space="0"/>
            </w:tcBorders>
            <w:vAlign w:val="center"/>
          </w:tcPr>
          <w:p w14:paraId="188A87DE">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新湖供应站</w:t>
            </w:r>
          </w:p>
        </w:tc>
        <w:tc>
          <w:tcPr>
            <w:tcW w:w="2819" w:type="dxa"/>
            <w:tcBorders>
              <w:top w:val="nil"/>
              <w:left w:val="nil"/>
              <w:bottom w:val="single" w:color="auto" w:sz="4" w:space="0"/>
              <w:right w:val="single" w:color="auto" w:sz="4" w:space="0"/>
            </w:tcBorders>
            <w:vAlign w:val="center"/>
          </w:tcPr>
          <w:p w14:paraId="158B1CFA">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bookmarkStart w:id="0" w:name="OLE_LINK3"/>
            <w:r>
              <w:rPr>
                <w:rFonts w:hint="eastAsia" w:ascii="Times New Roman" w:hAnsi="Times New Roman" w:eastAsia="仿宋_GB2312" w:cs="仿宋_GB2312"/>
                <w:sz w:val="24"/>
                <w:szCs w:val="24"/>
                <w:lang w:eastAsia="zh-CN" w:bidi="ar"/>
              </w:rPr>
              <w:t>太仓市</w:t>
            </w:r>
            <w:r>
              <w:rPr>
                <w:rFonts w:ascii="Times New Roman" w:hAnsi="Times New Roman" w:eastAsia="仿宋_GB2312" w:cs="仿宋_GB2312"/>
                <w:sz w:val="24"/>
                <w:szCs w:val="24"/>
                <w:lang w:eastAsia="zh-CN" w:bidi="ar"/>
              </w:rPr>
              <w:t>新湖</w:t>
            </w:r>
            <w:bookmarkEnd w:id="0"/>
            <w:r>
              <w:rPr>
                <w:rFonts w:hint="eastAsia" w:ascii="Times New Roman" w:hAnsi="Times New Roman" w:eastAsia="仿宋_GB2312" w:cs="仿宋_GB2312"/>
                <w:sz w:val="24"/>
                <w:szCs w:val="24"/>
                <w:lang w:eastAsia="zh-CN" w:bidi="ar"/>
              </w:rPr>
              <w:t>镇</w:t>
            </w:r>
          </w:p>
        </w:tc>
        <w:tc>
          <w:tcPr>
            <w:tcW w:w="980" w:type="dxa"/>
            <w:tcBorders>
              <w:top w:val="nil"/>
              <w:left w:val="nil"/>
              <w:bottom w:val="single" w:color="auto" w:sz="4" w:space="0"/>
              <w:right w:val="single" w:color="auto" w:sz="4" w:space="0"/>
            </w:tcBorders>
            <w:vAlign w:val="center"/>
          </w:tcPr>
          <w:p w14:paraId="14E367AF">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r w14:paraId="170D432C">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618D612E">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14</w:t>
            </w:r>
          </w:p>
        </w:tc>
        <w:tc>
          <w:tcPr>
            <w:tcW w:w="2842" w:type="dxa"/>
            <w:tcBorders>
              <w:top w:val="nil"/>
              <w:left w:val="nil"/>
              <w:bottom w:val="single" w:color="auto" w:sz="4" w:space="0"/>
              <w:right w:val="single" w:color="auto" w:sz="4" w:space="0"/>
            </w:tcBorders>
            <w:shd w:val="clear" w:color="000000" w:fill="FFFFFF"/>
            <w:vAlign w:val="center"/>
          </w:tcPr>
          <w:p w14:paraId="07D5FA34">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p>
        </w:tc>
        <w:tc>
          <w:tcPr>
            <w:tcW w:w="1710" w:type="dxa"/>
            <w:tcBorders>
              <w:top w:val="nil"/>
              <w:left w:val="nil"/>
              <w:bottom w:val="single" w:color="auto" w:sz="4" w:space="0"/>
              <w:right w:val="single" w:color="auto" w:sz="4" w:space="0"/>
            </w:tcBorders>
            <w:vAlign w:val="center"/>
          </w:tcPr>
          <w:p w14:paraId="36EC6439">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老闸供应站</w:t>
            </w:r>
          </w:p>
        </w:tc>
        <w:tc>
          <w:tcPr>
            <w:tcW w:w="2819" w:type="dxa"/>
            <w:tcBorders>
              <w:top w:val="nil"/>
              <w:left w:val="nil"/>
              <w:bottom w:val="single" w:color="auto" w:sz="4" w:space="0"/>
              <w:right w:val="single" w:color="auto" w:sz="4" w:space="0"/>
            </w:tcBorders>
            <w:vAlign w:val="center"/>
          </w:tcPr>
          <w:p w14:paraId="25CDB58D">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太仓市</w:t>
            </w:r>
            <w:r>
              <w:rPr>
                <w:rFonts w:ascii="Times New Roman" w:hAnsi="Times New Roman" w:eastAsia="仿宋_GB2312" w:cs="仿宋_GB2312"/>
                <w:sz w:val="24"/>
                <w:szCs w:val="24"/>
                <w:lang w:eastAsia="zh-CN" w:bidi="ar"/>
              </w:rPr>
              <w:t>老闸</w:t>
            </w:r>
            <w:r>
              <w:rPr>
                <w:rFonts w:hint="eastAsia" w:ascii="Times New Roman" w:hAnsi="Times New Roman" w:eastAsia="仿宋_GB2312" w:cs="仿宋_GB2312"/>
                <w:sz w:val="24"/>
                <w:szCs w:val="24"/>
                <w:lang w:eastAsia="zh-CN" w:bidi="ar"/>
              </w:rPr>
              <w:t>镇</w:t>
            </w:r>
          </w:p>
        </w:tc>
        <w:tc>
          <w:tcPr>
            <w:tcW w:w="980" w:type="dxa"/>
            <w:tcBorders>
              <w:top w:val="nil"/>
              <w:left w:val="nil"/>
              <w:bottom w:val="single" w:color="auto" w:sz="4" w:space="0"/>
              <w:right w:val="single" w:color="auto" w:sz="4" w:space="0"/>
            </w:tcBorders>
            <w:vAlign w:val="center"/>
          </w:tcPr>
          <w:p w14:paraId="5FBAA9B4">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r w14:paraId="19965CC3">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72D6AE39">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15</w:t>
            </w:r>
          </w:p>
        </w:tc>
        <w:tc>
          <w:tcPr>
            <w:tcW w:w="2842" w:type="dxa"/>
            <w:tcBorders>
              <w:top w:val="nil"/>
              <w:left w:val="nil"/>
              <w:bottom w:val="single" w:color="auto" w:sz="4" w:space="0"/>
              <w:right w:val="single" w:color="auto" w:sz="4" w:space="0"/>
            </w:tcBorders>
            <w:shd w:val="clear" w:color="000000" w:fill="FFFFFF"/>
            <w:vAlign w:val="center"/>
          </w:tcPr>
          <w:p w14:paraId="30E6A63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p>
        </w:tc>
        <w:tc>
          <w:tcPr>
            <w:tcW w:w="1710" w:type="dxa"/>
            <w:tcBorders>
              <w:top w:val="nil"/>
              <w:left w:val="nil"/>
              <w:bottom w:val="single" w:color="auto" w:sz="4" w:space="0"/>
              <w:right w:val="single" w:color="auto" w:sz="4" w:space="0"/>
            </w:tcBorders>
            <w:vAlign w:val="center"/>
          </w:tcPr>
          <w:p w14:paraId="1B842A6F">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浏河供应站</w:t>
            </w:r>
          </w:p>
        </w:tc>
        <w:tc>
          <w:tcPr>
            <w:tcW w:w="2819" w:type="dxa"/>
            <w:tcBorders>
              <w:top w:val="nil"/>
              <w:left w:val="nil"/>
              <w:bottom w:val="single" w:color="auto" w:sz="4" w:space="0"/>
              <w:right w:val="single" w:color="auto" w:sz="4" w:space="0"/>
            </w:tcBorders>
            <w:vAlign w:val="center"/>
          </w:tcPr>
          <w:p w14:paraId="385CA79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太仓市</w:t>
            </w:r>
            <w:r>
              <w:rPr>
                <w:rFonts w:ascii="Times New Roman" w:hAnsi="Times New Roman" w:eastAsia="仿宋_GB2312" w:cs="仿宋_GB2312"/>
                <w:sz w:val="24"/>
                <w:szCs w:val="24"/>
                <w:lang w:eastAsia="zh-CN" w:bidi="ar"/>
              </w:rPr>
              <w:t>浏河</w:t>
            </w:r>
            <w:r>
              <w:rPr>
                <w:rFonts w:hint="eastAsia" w:ascii="Times New Roman" w:hAnsi="Times New Roman" w:eastAsia="仿宋_GB2312" w:cs="仿宋_GB2312"/>
                <w:sz w:val="24"/>
                <w:szCs w:val="24"/>
                <w:lang w:eastAsia="zh-CN" w:bidi="ar"/>
              </w:rPr>
              <w:t>镇</w:t>
            </w:r>
          </w:p>
        </w:tc>
        <w:tc>
          <w:tcPr>
            <w:tcW w:w="980" w:type="dxa"/>
            <w:tcBorders>
              <w:top w:val="nil"/>
              <w:left w:val="nil"/>
              <w:bottom w:val="single" w:color="auto" w:sz="4" w:space="0"/>
              <w:right w:val="single" w:color="auto" w:sz="4" w:space="0"/>
            </w:tcBorders>
            <w:vAlign w:val="center"/>
          </w:tcPr>
          <w:p w14:paraId="5596E9DB">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r w14:paraId="1C7AE575">
        <w:tblPrEx>
          <w:tblCellMar>
            <w:top w:w="0" w:type="dxa"/>
            <w:left w:w="108" w:type="dxa"/>
            <w:bottom w:w="0" w:type="dxa"/>
            <w:right w:w="108" w:type="dxa"/>
          </w:tblCellMar>
        </w:tblPrEx>
        <w:trPr>
          <w:trHeight w:val="567" w:hRule="atLeast"/>
          <w:jc w:val="center"/>
        </w:trPr>
        <w:tc>
          <w:tcPr>
            <w:tcW w:w="709" w:type="dxa"/>
            <w:tcBorders>
              <w:top w:val="nil"/>
              <w:left w:val="single" w:color="auto" w:sz="4" w:space="0"/>
              <w:bottom w:val="single" w:color="auto" w:sz="4" w:space="0"/>
              <w:right w:val="single" w:color="auto" w:sz="4" w:space="0"/>
            </w:tcBorders>
            <w:shd w:val="clear" w:color="000000" w:fill="FFFFFF"/>
            <w:vAlign w:val="center"/>
          </w:tcPr>
          <w:p w14:paraId="38717563">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16</w:t>
            </w:r>
          </w:p>
        </w:tc>
        <w:tc>
          <w:tcPr>
            <w:tcW w:w="2842" w:type="dxa"/>
            <w:tcBorders>
              <w:top w:val="nil"/>
              <w:left w:val="nil"/>
              <w:bottom w:val="single" w:color="auto" w:sz="4" w:space="0"/>
              <w:right w:val="single" w:color="auto" w:sz="4" w:space="0"/>
            </w:tcBorders>
            <w:shd w:val="clear" w:color="000000" w:fill="FFFFFF"/>
            <w:vAlign w:val="center"/>
          </w:tcPr>
          <w:p w14:paraId="73B13AEB">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p>
        </w:tc>
        <w:tc>
          <w:tcPr>
            <w:tcW w:w="1710" w:type="dxa"/>
            <w:tcBorders>
              <w:top w:val="nil"/>
              <w:left w:val="nil"/>
              <w:bottom w:val="single" w:color="auto" w:sz="4" w:space="0"/>
              <w:right w:val="single" w:color="auto" w:sz="4" w:space="0"/>
            </w:tcBorders>
            <w:vAlign w:val="center"/>
          </w:tcPr>
          <w:p w14:paraId="712E2F0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璜泾供应站</w:t>
            </w:r>
          </w:p>
        </w:tc>
        <w:tc>
          <w:tcPr>
            <w:tcW w:w="2819" w:type="dxa"/>
            <w:tcBorders>
              <w:top w:val="nil"/>
              <w:left w:val="nil"/>
              <w:bottom w:val="single" w:color="auto" w:sz="4" w:space="0"/>
              <w:right w:val="single" w:color="auto" w:sz="4" w:space="0"/>
            </w:tcBorders>
            <w:vAlign w:val="center"/>
          </w:tcPr>
          <w:p w14:paraId="13CFCBEF">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太仓市</w:t>
            </w:r>
            <w:r>
              <w:rPr>
                <w:rFonts w:ascii="Times New Roman" w:hAnsi="Times New Roman" w:eastAsia="仿宋_GB2312" w:cs="仿宋_GB2312"/>
                <w:sz w:val="24"/>
                <w:szCs w:val="24"/>
                <w:lang w:eastAsia="zh-CN" w:bidi="ar"/>
              </w:rPr>
              <w:t>璜泾</w:t>
            </w:r>
            <w:r>
              <w:rPr>
                <w:rFonts w:hint="eastAsia" w:ascii="Times New Roman" w:hAnsi="Times New Roman" w:eastAsia="仿宋_GB2312" w:cs="仿宋_GB2312"/>
                <w:sz w:val="24"/>
                <w:szCs w:val="24"/>
                <w:lang w:eastAsia="zh-CN" w:bidi="ar"/>
              </w:rPr>
              <w:t>镇</w:t>
            </w:r>
          </w:p>
        </w:tc>
        <w:tc>
          <w:tcPr>
            <w:tcW w:w="980" w:type="dxa"/>
            <w:tcBorders>
              <w:top w:val="nil"/>
              <w:left w:val="nil"/>
              <w:bottom w:val="single" w:color="auto" w:sz="4" w:space="0"/>
              <w:right w:val="single" w:color="auto" w:sz="4" w:space="0"/>
            </w:tcBorders>
            <w:vAlign w:val="center"/>
          </w:tcPr>
          <w:p w14:paraId="25CF4AF2">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bl>
    <w:p w14:paraId="0DEE0560">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2.</w:t>
      </w:r>
      <w:r>
        <w:rPr>
          <w:rFonts w:hint="eastAsia" w:ascii="Times New Roman" w:hAnsi="Times New Roman" w:eastAsia="仿宋_GB2312" w:cs="Times New Roman"/>
          <w:bCs/>
          <w:snapToGrid w:val="0"/>
          <w:spacing w:val="-6"/>
          <w:sz w:val="32"/>
          <w:szCs w:val="32"/>
          <w:lang w:val="en-US" w:eastAsia="zh-CN"/>
        </w:rPr>
        <w:t>分批关停低效供应站：结合安全评估、城市更新、拆迁改造，分年度关停一批安全条件差、经营规模小、布局重叠的供应站，全市计划关停10座液化石油气瓶装供应站。</w:t>
      </w:r>
    </w:p>
    <w:p w14:paraId="3933E1D2">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ascii="Times New Roman" w:hAnsi="Times New Roman" w:eastAsia="黑体"/>
          <w:b w:val="0"/>
          <w:bCs/>
          <w:sz w:val="28"/>
          <w:szCs w:val="28"/>
          <w:lang w:eastAsia="zh-CN"/>
        </w:rPr>
      </w:pPr>
      <w:r>
        <w:rPr>
          <w:rFonts w:hint="eastAsia" w:ascii="Times New Roman" w:hAnsi="Times New Roman" w:eastAsia="黑体"/>
          <w:b w:val="0"/>
          <w:bCs/>
          <w:sz w:val="28"/>
          <w:szCs w:val="28"/>
          <w:lang w:eastAsia="zh-CN"/>
        </w:rPr>
        <w:t>十五五期间关停</w:t>
      </w:r>
      <w:r>
        <w:rPr>
          <w:rFonts w:ascii="Times New Roman" w:hAnsi="Times New Roman" w:eastAsia="黑体"/>
          <w:b w:val="0"/>
          <w:bCs/>
          <w:sz w:val="28"/>
          <w:szCs w:val="28"/>
          <w:lang w:eastAsia="zh-CN"/>
        </w:rPr>
        <w:t>液化石油气供应站</w:t>
      </w:r>
      <w:r>
        <w:rPr>
          <w:rFonts w:hint="eastAsia" w:ascii="Times New Roman" w:hAnsi="Times New Roman" w:eastAsia="黑体"/>
          <w:b w:val="0"/>
          <w:bCs/>
          <w:sz w:val="28"/>
          <w:szCs w:val="28"/>
          <w:lang w:eastAsia="zh-CN"/>
        </w:rPr>
        <w:t>清单</w:t>
      </w:r>
    </w:p>
    <w:tbl>
      <w:tblPr>
        <w:tblStyle w:val="32"/>
        <w:tblW w:w="8819" w:type="dxa"/>
        <w:jc w:val="center"/>
        <w:tblLayout w:type="fixed"/>
        <w:tblCellMar>
          <w:top w:w="0" w:type="dxa"/>
          <w:left w:w="108" w:type="dxa"/>
          <w:bottom w:w="0" w:type="dxa"/>
          <w:right w:w="108" w:type="dxa"/>
        </w:tblCellMar>
      </w:tblPr>
      <w:tblGrid>
        <w:gridCol w:w="924"/>
        <w:gridCol w:w="2471"/>
        <w:gridCol w:w="2432"/>
        <w:gridCol w:w="1936"/>
        <w:gridCol w:w="1056"/>
      </w:tblGrid>
      <w:tr w14:paraId="29A5A4B8">
        <w:tblPrEx>
          <w:tblCellMar>
            <w:top w:w="0" w:type="dxa"/>
            <w:left w:w="108" w:type="dxa"/>
            <w:bottom w:w="0" w:type="dxa"/>
            <w:right w:w="108" w:type="dxa"/>
          </w:tblCellMar>
        </w:tblPrEx>
        <w:trPr>
          <w:trHeight w:val="340" w:hRule="exact"/>
          <w:jc w:val="center"/>
        </w:trPr>
        <w:tc>
          <w:tcPr>
            <w:tcW w:w="9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8AE51AF">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Times New Roman" w:hAnsi="Times New Roman" w:eastAsia="黑体" w:cs="黑体"/>
                <w:color w:val="000000"/>
                <w:sz w:val="21"/>
                <w:szCs w:val="21"/>
                <w:lang w:eastAsia="zh-CN"/>
              </w:rPr>
            </w:pPr>
            <w:r>
              <w:rPr>
                <w:rFonts w:hint="eastAsia" w:ascii="Times New Roman" w:hAnsi="Times New Roman" w:eastAsia="黑体" w:cs="黑体"/>
                <w:color w:val="000000"/>
                <w:sz w:val="21"/>
                <w:szCs w:val="21"/>
                <w:lang w:eastAsia="zh-CN"/>
              </w:rPr>
              <w:t>序号</w:t>
            </w:r>
          </w:p>
        </w:tc>
        <w:tc>
          <w:tcPr>
            <w:tcW w:w="24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EF66E92">
            <w:pPr>
              <w:keepNext w:val="0"/>
              <w:keepLines w:val="0"/>
              <w:pageBreakBefore w:val="0"/>
              <w:widowControl/>
              <w:kinsoku/>
              <w:wordWrap/>
              <w:overflowPunct/>
              <w:topLinePunct w:val="0"/>
              <w:autoSpaceDE/>
              <w:autoSpaceDN/>
              <w:bidi w:val="0"/>
              <w:adjustRightInd/>
              <w:snapToGrid/>
              <w:spacing w:after="0" w:line="400" w:lineRule="exact"/>
              <w:jc w:val="center"/>
              <w:rPr>
                <w:rFonts w:hint="eastAsia" w:ascii="Times New Roman" w:hAnsi="Times New Roman" w:eastAsia="黑体" w:cs="黑体"/>
                <w:color w:val="000000"/>
                <w:sz w:val="21"/>
                <w:szCs w:val="21"/>
                <w:lang w:eastAsia="zh-CN"/>
              </w:rPr>
            </w:pPr>
            <w:r>
              <w:rPr>
                <w:rFonts w:hint="eastAsia" w:ascii="Times New Roman" w:hAnsi="Times New Roman" w:eastAsia="黑体" w:cs="黑体"/>
                <w:color w:val="000000"/>
                <w:sz w:val="21"/>
                <w:szCs w:val="21"/>
                <w:lang w:eastAsia="zh-CN"/>
              </w:rPr>
              <w:t>企业名称</w:t>
            </w:r>
          </w:p>
        </w:tc>
        <w:tc>
          <w:tcPr>
            <w:tcW w:w="243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B5FD1DD">
            <w:pPr>
              <w:keepNext w:val="0"/>
              <w:keepLines w:val="0"/>
              <w:pageBreakBefore w:val="0"/>
              <w:widowControl/>
              <w:kinsoku/>
              <w:wordWrap/>
              <w:overflowPunct/>
              <w:topLinePunct w:val="0"/>
              <w:autoSpaceDE/>
              <w:autoSpaceDN/>
              <w:bidi w:val="0"/>
              <w:adjustRightInd/>
              <w:snapToGrid/>
              <w:spacing w:after="0" w:line="400" w:lineRule="exact"/>
              <w:jc w:val="center"/>
              <w:rPr>
                <w:rFonts w:hint="eastAsia" w:ascii="Times New Roman" w:hAnsi="Times New Roman" w:eastAsia="黑体" w:cs="黑体"/>
                <w:color w:val="000000"/>
                <w:sz w:val="21"/>
                <w:szCs w:val="21"/>
                <w:lang w:eastAsia="zh-CN"/>
              </w:rPr>
            </w:pPr>
            <w:r>
              <w:rPr>
                <w:rFonts w:hint="eastAsia" w:ascii="Times New Roman" w:hAnsi="Times New Roman" w:eastAsia="黑体" w:cs="黑体"/>
                <w:color w:val="000000"/>
                <w:sz w:val="21"/>
                <w:szCs w:val="21"/>
                <w:lang w:eastAsia="zh-CN"/>
              </w:rPr>
              <w:t>站名</w:t>
            </w:r>
          </w:p>
        </w:tc>
        <w:tc>
          <w:tcPr>
            <w:tcW w:w="193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B38F75">
            <w:pPr>
              <w:keepNext w:val="0"/>
              <w:keepLines w:val="0"/>
              <w:pageBreakBefore w:val="0"/>
              <w:widowControl/>
              <w:kinsoku/>
              <w:wordWrap/>
              <w:overflowPunct/>
              <w:topLinePunct w:val="0"/>
              <w:autoSpaceDE/>
              <w:autoSpaceDN/>
              <w:bidi w:val="0"/>
              <w:adjustRightInd/>
              <w:snapToGrid/>
              <w:spacing w:after="0" w:line="400" w:lineRule="exact"/>
              <w:jc w:val="center"/>
              <w:rPr>
                <w:rFonts w:hint="eastAsia" w:ascii="Times New Roman" w:hAnsi="Times New Roman" w:eastAsia="黑体" w:cs="黑体"/>
                <w:color w:val="000000"/>
                <w:sz w:val="21"/>
                <w:szCs w:val="21"/>
                <w:lang w:eastAsia="zh-CN"/>
              </w:rPr>
            </w:pPr>
            <w:r>
              <w:rPr>
                <w:rFonts w:hint="eastAsia" w:ascii="Times New Roman" w:hAnsi="Times New Roman" w:eastAsia="黑体" w:cs="黑体"/>
                <w:color w:val="000000"/>
                <w:sz w:val="21"/>
                <w:szCs w:val="21"/>
                <w:lang w:eastAsia="zh-CN"/>
              </w:rPr>
              <w:t>站址</w:t>
            </w:r>
          </w:p>
        </w:tc>
        <w:tc>
          <w:tcPr>
            <w:tcW w:w="105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FD69629">
            <w:pPr>
              <w:keepNext w:val="0"/>
              <w:keepLines w:val="0"/>
              <w:pageBreakBefore w:val="0"/>
              <w:widowControl/>
              <w:kinsoku/>
              <w:wordWrap/>
              <w:overflowPunct/>
              <w:topLinePunct w:val="0"/>
              <w:autoSpaceDE/>
              <w:autoSpaceDN/>
              <w:bidi w:val="0"/>
              <w:adjustRightInd/>
              <w:snapToGrid/>
              <w:spacing w:after="0" w:line="400" w:lineRule="exact"/>
              <w:jc w:val="center"/>
              <w:rPr>
                <w:rFonts w:hint="eastAsia" w:ascii="Times New Roman" w:hAnsi="Times New Roman" w:eastAsia="黑体" w:cs="黑体"/>
                <w:color w:val="000000"/>
                <w:sz w:val="21"/>
                <w:szCs w:val="21"/>
                <w:lang w:eastAsia="zh-CN"/>
              </w:rPr>
            </w:pPr>
            <w:r>
              <w:rPr>
                <w:rFonts w:hint="eastAsia" w:ascii="Times New Roman" w:hAnsi="Times New Roman" w:eastAsia="黑体" w:cs="黑体"/>
                <w:color w:val="000000"/>
                <w:sz w:val="21"/>
                <w:szCs w:val="21"/>
                <w:lang w:eastAsia="zh-CN"/>
              </w:rPr>
              <w:t>站等级</w:t>
            </w:r>
          </w:p>
        </w:tc>
      </w:tr>
      <w:tr w14:paraId="05AE234B">
        <w:tblPrEx>
          <w:tblCellMar>
            <w:top w:w="0" w:type="dxa"/>
            <w:left w:w="108" w:type="dxa"/>
            <w:bottom w:w="0" w:type="dxa"/>
            <w:right w:w="108" w:type="dxa"/>
          </w:tblCellMar>
        </w:tblPrEx>
        <w:trPr>
          <w:trHeight w:val="600" w:hRule="atLeast"/>
          <w:jc w:val="center"/>
        </w:trPr>
        <w:tc>
          <w:tcPr>
            <w:tcW w:w="924" w:type="dxa"/>
            <w:vMerge w:val="continue"/>
            <w:tcBorders>
              <w:top w:val="single" w:color="auto" w:sz="4" w:space="0"/>
              <w:left w:val="single" w:color="auto" w:sz="4" w:space="0"/>
              <w:bottom w:val="single" w:color="auto" w:sz="4" w:space="0"/>
              <w:right w:val="single" w:color="auto" w:sz="4" w:space="0"/>
            </w:tcBorders>
            <w:vAlign w:val="center"/>
          </w:tcPr>
          <w:p w14:paraId="09C2A4C3">
            <w:pPr>
              <w:keepNext w:val="0"/>
              <w:keepLines w:val="0"/>
              <w:pageBreakBefore w:val="0"/>
              <w:widowControl/>
              <w:kinsoku/>
              <w:wordWrap/>
              <w:overflowPunct/>
              <w:topLinePunct w:val="0"/>
              <w:autoSpaceDE/>
              <w:autoSpaceDN/>
              <w:bidi w:val="0"/>
              <w:adjustRightInd/>
              <w:snapToGrid/>
              <w:spacing w:after="0" w:line="400" w:lineRule="exact"/>
              <w:rPr>
                <w:rFonts w:hint="eastAsia" w:ascii="Times New Roman" w:hAnsi="Times New Roman" w:eastAsia="宋体" w:cs="宋体"/>
                <w:color w:val="000000"/>
                <w:sz w:val="21"/>
                <w:szCs w:val="21"/>
                <w:lang w:eastAsia="zh-CN"/>
              </w:rPr>
            </w:pPr>
          </w:p>
        </w:tc>
        <w:tc>
          <w:tcPr>
            <w:tcW w:w="2471" w:type="dxa"/>
            <w:vMerge w:val="continue"/>
            <w:tcBorders>
              <w:top w:val="single" w:color="auto" w:sz="4" w:space="0"/>
              <w:left w:val="single" w:color="auto" w:sz="4" w:space="0"/>
              <w:bottom w:val="single" w:color="auto" w:sz="4" w:space="0"/>
              <w:right w:val="single" w:color="auto" w:sz="4" w:space="0"/>
            </w:tcBorders>
            <w:vAlign w:val="center"/>
          </w:tcPr>
          <w:p w14:paraId="149792F5">
            <w:pPr>
              <w:keepNext w:val="0"/>
              <w:keepLines w:val="0"/>
              <w:pageBreakBefore w:val="0"/>
              <w:widowControl/>
              <w:kinsoku/>
              <w:wordWrap/>
              <w:overflowPunct/>
              <w:topLinePunct w:val="0"/>
              <w:autoSpaceDE/>
              <w:autoSpaceDN/>
              <w:bidi w:val="0"/>
              <w:adjustRightInd/>
              <w:snapToGrid/>
              <w:spacing w:after="0" w:line="400" w:lineRule="exact"/>
              <w:rPr>
                <w:rFonts w:hint="eastAsia" w:ascii="Times New Roman" w:hAnsi="Times New Roman" w:eastAsia="宋体" w:cs="宋体"/>
                <w:color w:val="000000"/>
                <w:sz w:val="21"/>
                <w:szCs w:val="21"/>
                <w:lang w:eastAsia="zh-CN"/>
              </w:rPr>
            </w:pPr>
          </w:p>
        </w:tc>
        <w:tc>
          <w:tcPr>
            <w:tcW w:w="2432" w:type="dxa"/>
            <w:vMerge w:val="continue"/>
            <w:tcBorders>
              <w:top w:val="single" w:color="auto" w:sz="4" w:space="0"/>
              <w:left w:val="single" w:color="auto" w:sz="4" w:space="0"/>
              <w:bottom w:val="single" w:color="auto" w:sz="4" w:space="0"/>
              <w:right w:val="single" w:color="auto" w:sz="4" w:space="0"/>
            </w:tcBorders>
            <w:vAlign w:val="center"/>
          </w:tcPr>
          <w:p w14:paraId="0E7E7884">
            <w:pPr>
              <w:keepNext w:val="0"/>
              <w:keepLines w:val="0"/>
              <w:pageBreakBefore w:val="0"/>
              <w:widowControl/>
              <w:kinsoku/>
              <w:wordWrap/>
              <w:overflowPunct/>
              <w:topLinePunct w:val="0"/>
              <w:autoSpaceDE/>
              <w:autoSpaceDN/>
              <w:bidi w:val="0"/>
              <w:adjustRightInd/>
              <w:snapToGrid/>
              <w:spacing w:after="0" w:line="400" w:lineRule="exact"/>
              <w:rPr>
                <w:rFonts w:hint="eastAsia" w:ascii="Times New Roman" w:hAnsi="Times New Roman" w:eastAsia="宋体" w:cs="宋体"/>
                <w:color w:val="000000"/>
                <w:sz w:val="21"/>
                <w:szCs w:val="21"/>
                <w:lang w:eastAsia="zh-CN"/>
              </w:rPr>
            </w:pPr>
          </w:p>
        </w:tc>
        <w:tc>
          <w:tcPr>
            <w:tcW w:w="1936" w:type="dxa"/>
            <w:vMerge w:val="continue"/>
            <w:tcBorders>
              <w:top w:val="single" w:color="auto" w:sz="4" w:space="0"/>
              <w:left w:val="single" w:color="auto" w:sz="4" w:space="0"/>
              <w:bottom w:val="single" w:color="auto" w:sz="4" w:space="0"/>
              <w:right w:val="single" w:color="auto" w:sz="4" w:space="0"/>
            </w:tcBorders>
            <w:vAlign w:val="center"/>
          </w:tcPr>
          <w:p w14:paraId="7D4EE8A1">
            <w:pPr>
              <w:keepNext w:val="0"/>
              <w:keepLines w:val="0"/>
              <w:pageBreakBefore w:val="0"/>
              <w:widowControl/>
              <w:kinsoku/>
              <w:wordWrap/>
              <w:overflowPunct/>
              <w:topLinePunct w:val="0"/>
              <w:autoSpaceDE/>
              <w:autoSpaceDN/>
              <w:bidi w:val="0"/>
              <w:adjustRightInd/>
              <w:snapToGrid/>
              <w:spacing w:after="0" w:line="400" w:lineRule="exact"/>
              <w:rPr>
                <w:rFonts w:hint="eastAsia" w:ascii="Times New Roman" w:hAnsi="Times New Roman" w:eastAsia="宋体" w:cs="宋体"/>
                <w:color w:val="000000"/>
                <w:sz w:val="21"/>
                <w:szCs w:val="21"/>
                <w:lang w:eastAsia="zh-CN"/>
              </w:rPr>
            </w:pPr>
          </w:p>
        </w:tc>
        <w:tc>
          <w:tcPr>
            <w:tcW w:w="1056" w:type="dxa"/>
            <w:vMerge w:val="continue"/>
            <w:tcBorders>
              <w:top w:val="single" w:color="auto" w:sz="4" w:space="0"/>
              <w:left w:val="single" w:color="auto" w:sz="4" w:space="0"/>
              <w:bottom w:val="single" w:color="auto" w:sz="4" w:space="0"/>
              <w:right w:val="single" w:color="auto" w:sz="4" w:space="0"/>
            </w:tcBorders>
            <w:vAlign w:val="center"/>
          </w:tcPr>
          <w:p w14:paraId="5CFC724D">
            <w:pPr>
              <w:keepNext w:val="0"/>
              <w:keepLines w:val="0"/>
              <w:pageBreakBefore w:val="0"/>
              <w:widowControl/>
              <w:kinsoku/>
              <w:wordWrap/>
              <w:overflowPunct/>
              <w:topLinePunct w:val="0"/>
              <w:autoSpaceDE/>
              <w:autoSpaceDN/>
              <w:bidi w:val="0"/>
              <w:adjustRightInd/>
              <w:snapToGrid/>
              <w:spacing w:after="0" w:line="400" w:lineRule="exact"/>
              <w:rPr>
                <w:rFonts w:hint="eastAsia" w:ascii="Times New Roman" w:hAnsi="Times New Roman" w:eastAsia="宋体" w:cs="宋体"/>
                <w:color w:val="000000"/>
                <w:sz w:val="21"/>
                <w:szCs w:val="21"/>
                <w:lang w:eastAsia="zh-CN"/>
              </w:rPr>
            </w:pPr>
          </w:p>
        </w:tc>
      </w:tr>
      <w:tr w14:paraId="5F93C144">
        <w:tblPrEx>
          <w:tblCellMar>
            <w:top w:w="0" w:type="dxa"/>
            <w:left w:w="108" w:type="dxa"/>
            <w:bottom w:w="0" w:type="dxa"/>
            <w:right w:w="108" w:type="dxa"/>
          </w:tblCellMar>
        </w:tblPrEx>
        <w:trPr>
          <w:trHeight w:val="600"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14:paraId="486B4B54">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1</w:t>
            </w:r>
          </w:p>
        </w:tc>
        <w:tc>
          <w:tcPr>
            <w:tcW w:w="2471" w:type="dxa"/>
            <w:tcBorders>
              <w:top w:val="single" w:color="auto" w:sz="4" w:space="0"/>
              <w:left w:val="single" w:color="auto" w:sz="4" w:space="0"/>
              <w:bottom w:val="single" w:color="auto" w:sz="4" w:space="0"/>
              <w:right w:val="single" w:color="auto" w:sz="4" w:space="0"/>
            </w:tcBorders>
            <w:vAlign w:val="center"/>
          </w:tcPr>
          <w:p w14:paraId="33A27D34">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bookmarkStart w:id="1" w:name="OLE_LINK2"/>
            <w:r>
              <w:rPr>
                <w:rFonts w:ascii="Times New Roman" w:hAnsi="Times New Roman" w:eastAsia="仿宋_GB2312" w:cs="仿宋_GB2312"/>
                <w:sz w:val="24"/>
                <w:szCs w:val="24"/>
                <w:lang w:eastAsia="zh-CN" w:bidi="ar"/>
              </w:rPr>
              <w:t>苏州燃气集团液化气有限责任公司</w:t>
            </w:r>
            <w:bookmarkEnd w:id="1"/>
          </w:p>
        </w:tc>
        <w:tc>
          <w:tcPr>
            <w:tcW w:w="2432" w:type="dxa"/>
            <w:tcBorders>
              <w:top w:val="single" w:color="auto" w:sz="4" w:space="0"/>
              <w:left w:val="single" w:color="auto" w:sz="4" w:space="0"/>
              <w:bottom w:val="single" w:color="auto" w:sz="4" w:space="0"/>
              <w:right w:val="single" w:color="auto" w:sz="4" w:space="0"/>
            </w:tcBorders>
            <w:vAlign w:val="center"/>
          </w:tcPr>
          <w:p w14:paraId="624B3408">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辛庄服务站</w:t>
            </w:r>
          </w:p>
        </w:tc>
        <w:tc>
          <w:tcPr>
            <w:tcW w:w="1936" w:type="dxa"/>
            <w:tcBorders>
              <w:top w:val="single" w:color="auto" w:sz="4" w:space="0"/>
              <w:left w:val="single" w:color="auto" w:sz="4" w:space="0"/>
              <w:bottom w:val="single" w:color="auto" w:sz="4" w:space="0"/>
              <w:right w:val="single" w:color="auto" w:sz="4" w:space="0"/>
            </w:tcBorders>
            <w:vAlign w:val="center"/>
          </w:tcPr>
          <w:p w14:paraId="1C7E5765">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姑苏区</w:t>
            </w:r>
            <w:r>
              <w:rPr>
                <w:rFonts w:ascii="Times New Roman" w:hAnsi="Times New Roman" w:eastAsia="仿宋_GB2312" w:cs="仿宋_GB2312"/>
                <w:sz w:val="24"/>
                <w:szCs w:val="24"/>
                <w:lang w:eastAsia="zh-CN" w:bidi="ar"/>
              </w:rPr>
              <w:t>白洋湾街道洋南路28号</w:t>
            </w:r>
          </w:p>
        </w:tc>
        <w:tc>
          <w:tcPr>
            <w:tcW w:w="1056" w:type="dxa"/>
            <w:tcBorders>
              <w:top w:val="single" w:color="auto" w:sz="4" w:space="0"/>
              <w:left w:val="single" w:color="auto" w:sz="4" w:space="0"/>
              <w:bottom w:val="single" w:color="auto" w:sz="4" w:space="0"/>
              <w:right w:val="single" w:color="auto" w:sz="4" w:space="0"/>
            </w:tcBorders>
            <w:vAlign w:val="center"/>
          </w:tcPr>
          <w:p w14:paraId="32D2BBA0">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二</w:t>
            </w:r>
            <w:r>
              <w:rPr>
                <w:rFonts w:ascii="Times New Roman" w:hAnsi="Times New Roman" w:eastAsia="仿宋_GB2312" w:cs="仿宋_GB2312"/>
                <w:sz w:val="24"/>
                <w:szCs w:val="24"/>
                <w:lang w:eastAsia="zh-CN" w:bidi="ar"/>
              </w:rPr>
              <w:t>级</w:t>
            </w:r>
          </w:p>
        </w:tc>
      </w:tr>
      <w:tr w14:paraId="1DA04054">
        <w:tblPrEx>
          <w:tblCellMar>
            <w:top w:w="0" w:type="dxa"/>
            <w:left w:w="108" w:type="dxa"/>
            <w:bottom w:w="0" w:type="dxa"/>
            <w:right w:w="108" w:type="dxa"/>
          </w:tblCellMar>
        </w:tblPrEx>
        <w:trPr>
          <w:trHeight w:val="600"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14:paraId="01E4F8B5">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2</w:t>
            </w:r>
          </w:p>
        </w:tc>
        <w:tc>
          <w:tcPr>
            <w:tcW w:w="2471" w:type="dxa"/>
            <w:tcBorders>
              <w:top w:val="single" w:color="auto" w:sz="4" w:space="0"/>
              <w:left w:val="single" w:color="auto" w:sz="4" w:space="0"/>
              <w:bottom w:val="single" w:color="auto" w:sz="4" w:space="0"/>
              <w:right w:val="single" w:color="auto" w:sz="4" w:space="0"/>
            </w:tcBorders>
            <w:vAlign w:val="center"/>
          </w:tcPr>
          <w:p w14:paraId="1E9C4FC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苏州燃气集团液化气有限责任公司</w:t>
            </w:r>
          </w:p>
        </w:tc>
        <w:tc>
          <w:tcPr>
            <w:tcW w:w="2432" w:type="dxa"/>
            <w:tcBorders>
              <w:top w:val="single" w:color="auto" w:sz="4" w:space="0"/>
              <w:left w:val="single" w:color="auto" w:sz="4" w:space="0"/>
              <w:bottom w:val="single" w:color="auto" w:sz="4" w:space="0"/>
              <w:right w:val="single" w:color="auto" w:sz="4" w:space="0"/>
            </w:tcBorders>
            <w:vAlign w:val="center"/>
          </w:tcPr>
          <w:p w14:paraId="545D743E">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阳澄湖服务站</w:t>
            </w:r>
          </w:p>
        </w:tc>
        <w:tc>
          <w:tcPr>
            <w:tcW w:w="1936" w:type="dxa"/>
            <w:tcBorders>
              <w:top w:val="single" w:color="auto" w:sz="4" w:space="0"/>
              <w:left w:val="single" w:color="auto" w:sz="4" w:space="0"/>
              <w:bottom w:val="single" w:color="auto" w:sz="4" w:space="0"/>
              <w:right w:val="single" w:color="auto" w:sz="4" w:space="0"/>
            </w:tcBorders>
            <w:vAlign w:val="center"/>
          </w:tcPr>
          <w:p w14:paraId="3261E8E0">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相城区</w:t>
            </w:r>
            <w:r>
              <w:rPr>
                <w:rFonts w:ascii="Times New Roman" w:hAnsi="Times New Roman" w:eastAsia="仿宋_GB2312" w:cs="仿宋_GB2312"/>
                <w:sz w:val="24"/>
                <w:szCs w:val="24"/>
                <w:lang w:eastAsia="zh-CN" w:bidi="ar"/>
              </w:rPr>
              <w:t>阳澄湖镇湘石路1号南侧</w:t>
            </w:r>
          </w:p>
        </w:tc>
        <w:tc>
          <w:tcPr>
            <w:tcW w:w="1056" w:type="dxa"/>
            <w:tcBorders>
              <w:top w:val="single" w:color="auto" w:sz="4" w:space="0"/>
              <w:left w:val="single" w:color="auto" w:sz="4" w:space="0"/>
              <w:bottom w:val="single" w:color="auto" w:sz="4" w:space="0"/>
              <w:right w:val="single" w:color="auto" w:sz="4" w:space="0"/>
            </w:tcBorders>
            <w:vAlign w:val="center"/>
          </w:tcPr>
          <w:p w14:paraId="1A9C7368">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r w14:paraId="03BFF258">
        <w:tblPrEx>
          <w:tblCellMar>
            <w:top w:w="0" w:type="dxa"/>
            <w:left w:w="108" w:type="dxa"/>
            <w:bottom w:w="0" w:type="dxa"/>
            <w:right w:w="108" w:type="dxa"/>
          </w:tblCellMar>
        </w:tblPrEx>
        <w:trPr>
          <w:trHeight w:val="600"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14:paraId="32023E77">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3</w:t>
            </w:r>
          </w:p>
        </w:tc>
        <w:tc>
          <w:tcPr>
            <w:tcW w:w="2471" w:type="dxa"/>
            <w:tcBorders>
              <w:top w:val="single" w:color="auto" w:sz="4" w:space="0"/>
              <w:left w:val="single" w:color="auto" w:sz="4" w:space="0"/>
              <w:bottom w:val="single" w:color="auto" w:sz="4" w:space="0"/>
              <w:right w:val="single" w:color="auto" w:sz="4" w:space="0"/>
            </w:tcBorders>
            <w:vAlign w:val="center"/>
          </w:tcPr>
          <w:p w14:paraId="3884313B">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苏州燃气集团液化气有限责任公司</w:t>
            </w:r>
          </w:p>
        </w:tc>
        <w:tc>
          <w:tcPr>
            <w:tcW w:w="2432" w:type="dxa"/>
            <w:tcBorders>
              <w:top w:val="single" w:color="auto" w:sz="4" w:space="0"/>
              <w:left w:val="single" w:color="auto" w:sz="4" w:space="0"/>
              <w:bottom w:val="single" w:color="auto" w:sz="4" w:space="0"/>
              <w:right w:val="single" w:color="auto" w:sz="4" w:space="0"/>
            </w:tcBorders>
            <w:vAlign w:val="center"/>
          </w:tcPr>
          <w:p w14:paraId="1A52C723">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灵天路服务站</w:t>
            </w:r>
          </w:p>
        </w:tc>
        <w:tc>
          <w:tcPr>
            <w:tcW w:w="1936" w:type="dxa"/>
            <w:tcBorders>
              <w:top w:val="single" w:color="auto" w:sz="4" w:space="0"/>
              <w:left w:val="single" w:color="auto" w:sz="4" w:space="0"/>
              <w:bottom w:val="single" w:color="auto" w:sz="4" w:space="0"/>
              <w:right w:val="single" w:color="auto" w:sz="4" w:space="0"/>
            </w:tcBorders>
            <w:vAlign w:val="center"/>
          </w:tcPr>
          <w:p w14:paraId="0925E3C2">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吴中区木渎镇灵天路公墓停车场</w:t>
            </w:r>
          </w:p>
        </w:tc>
        <w:tc>
          <w:tcPr>
            <w:tcW w:w="1056" w:type="dxa"/>
            <w:tcBorders>
              <w:top w:val="single" w:color="auto" w:sz="4" w:space="0"/>
              <w:left w:val="single" w:color="auto" w:sz="4" w:space="0"/>
              <w:bottom w:val="single" w:color="auto" w:sz="4" w:space="0"/>
              <w:right w:val="single" w:color="auto" w:sz="4" w:space="0"/>
            </w:tcBorders>
            <w:vAlign w:val="center"/>
          </w:tcPr>
          <w:p w14:paraId="58F8A5DE">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三级</w:t>
            </w:r>
          </w:p>
        </w:tc>
      </w:tr>
      <w:tr w14:paraId="7C13EA1E">
        <w:tblPrEx>
          <w:tblCellMar>
            <w:top w:w="0" w:type="dxa"/>
            <w:left w:w="108" w:type="dxa"/>
            <w:bottom w:w="0" w:type="dxa"/>
            <w:right w:w="108" w:type="dxa"/>
          </w:tblCellMar>
        </w:tblPrEx>
        <w:trPr>
          <w:trHeight w:val="600"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14:paraId="6CD17A19">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4</w:t>
            </w:r>
          </w:p>
        </w:tc>
        <w:tc>
          <w:tcPr>
            <w:tcW w:w="2471" w:type="dxa"/>
            <w:tcBorders>
              <w:top w:val="single" w:color="auto" w:sz="4" w:space="0"/>
              <w:left w:val="single" w:color="auto" w:sz="4" w:space="0"/>
              <w:bottom w:val="single" w:color="auto" w:sz="4" w:space="0"/>
              <w:right w:val="single" w:color="auto" w:sz="4" w:space="0"/>
            </w:tcBorders>
            <w:vAlign w:val="center"/>
          </w:tcPr>
          <w:p w14:paraId="0EBF132E">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苏州燃气集团液化气有限责任公司</w:t>
            </w:r>
          </w:p>
        </w:tc>
        <w:tc>
          <w:tcPr>
            <w:tcW w:w="2432" w:type="dxa"/>
            <w:tcBorders>
              <w:top w:val="single" w:color="auto" w:sz="4" w:space="0"/>
              <w:left w:val="single" w:color="auto" w:sz="4" w:space="0"/>
              <w:bottom w:val="single" w:color="auto" w:sz="4" w:space="0"/>
              <w:right w:val="single" w:color="auto" w:sz="4" w:space="0"/>
            </w:tcBorders>
            <w:vAlign w:val="center"/>
          </w:tcPr>
          <w:p w14:paraId="30109199">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横泾泾峰服务站</w:t>
            </w:r>
          </w:p>
        </w:tc>
        <w:tc>
          <w:tcPr>
            <w:tcW w:w="1936" w:type="dxa"/>
            <w:tcBorders>
              <w:top w:val="single" w:color="auto" w:sz="4" w:space="0"/>
              <w:left w:val="single" w:color="auto" w:sz="4" w:space="0"/>
              <w:bottom w:val="single" w:color="auto" w:sz="4" w:space="0"/>
              <w:right w:val="single" w:color="auto" w:sz="4" w:space="0"/>
            </w:tcBorders>
            <w:vAlign w:val="center"/>
          </w:tcPr>
          <w:p w14:paraId="1743D1B3">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吴中区横泾街道北北香花桥弄停车场东侧</w:t>
            </w:r>
          </w:p>
        </w:tc>
        <w:tc>
          <w:tcPr>
            <w:tcW w:w="1056" w:type="dxa"/>
            <w:tcBorders>
              <w:top w:val="single" w:color="auto" w:sz="4" w:space="0"/>
              <w:left w:val="single" w:color="auto" w:sz="4" w:space="0"/>
              <w:bottom w:val="single" w:color="auto" w:sz="4" w:space="0"/>
              <w:right w:val="single" w:color="auto" w:sz="4" w:space="0"/>
            </w:tcBorders>
            <w:vAlign w:val="center"/>
          </w:tcPr>
          <w:p w14:paraId="52954DEE">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三级</w:t>
            </w:r>
          </w:p>
        </w:tc>
      </w:tr>
      <w:tr w14:paraId="768CF0EF">
        <w:tblPrEx>
          <w:tblCellMar>
            <w:top w:w="0" w:type="dxa"/>
            <w:left w:w="108" w:type="dxa"/>
            <w:bottom w:w="0" w:type="dxa"/>
            <w:right w:w="108" w:type="dxa"/>
          </w:tblCellMar>
        </w:tblPrEx>
        <w:trPr>
          <w:trHeight w:val="600"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14:paraId="4208D25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5</w:t>
            </w:r>
          </w:p>
        </w:tc>
        <w:tc>
          <w:tcPr>
            <w:tcW w:w="2471" w:type="dxa"/>
            <w:tcBorders>
              <w:top w:val="single" w:color="auto" w:sz="4" w:space="0"/>
              <w:left w:val="single" w:color="auto" w:sz="4" w:space="0"/>
              <w:bottom w:val="single" w:color="auto" w:sz="4" w:space="0"/>
              <w:right w:val="single" w:color="auto" w:sz="4" w:space="0"/>
            </w:tcBorders>
            <w:vAlign w:val="center"/>
          </w:tcPr>
          <w:p w14:paraId="073E5A85">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苏州泰华燃气有限公司</w:t>
            </w:r>
          </w:p>
        </w:tc>
        <w:tc>
          <w:tcPr>
            <w:tcW w:w="2432" w:type="dxa"/>
            <w:tcBorders>
              <w:top w:val="single" w:color="auto" w:sz="4" w:space="0"/>
              <w:left w:val="single" w:color="auto" w:sz="4" w:space="0"/>
              <w:bottom w:val="single" w:color="auto" w:sz="4" w:space="0"/>
              <w:right w:val="single" w:color="auto" w:sz="4" w:space="0"/>
            </w:tcBorders>
            <w:vAlign w:val="center"/>
          </w:tcPr>
          <w:p w14:paraId="552BA4C2">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沈周服务站</w:t>
            </w:r>
          </w:p>
        </w:tc>
        <w:tc>
          <w:tcPr>
            <w:tcW w:w="1936" w:type="dxa"/>
            <w:tcBorders>
              <w:top w:val="single" w:color="auto" w:sz="4" w:space="0"/>
              <w:left w:val="single" w:color="auto" w:sz="4" w:space="0"/>
              <w:bottom w:val="single" w:color="auto" w:sz="4" w:space="0"/>
              <w:right w:val="single" w:color="auto" w:sz="4" w:space="0"/>
            </w:tcBorders>
            <w:vAlign w:val="center"/>
          </w:tcPr>
          <w:p w14:paraId="140765A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相城区</w:t>
            </w:r>
            <w:bookmarkStart w:id="2" w:name="OLE_LINK1"/>
            <w:r>
              <w:rPr>
                <w:rFonts w:ascii="Times New Roman" w:hAnsi="Times New Roman" w:eastAsia="仿宋_GB2312" w:cs="仿宋_GB2312"/>
                <w:sz w:val="24"/>
                <w:szCs w:val="24"/>
                <w:lang w:eastAsia="zh-CN" w:bidi="ar"/>
              </w:rPr>
              <w:t>阳澄湖镇</w:t>
            </w:r>
            <w:bookmarkEnd w:id="2"/>
            <w:r>
              <w:rPr>
                <w:rFonts w:ascii="Times New Roman" w:hAnsi="Times New Roman" w:eastAsia="仿宋_GB2312" w:cs="仿宋_GB2312"/>
                <w:sz w:val="24"/>
                <w:szCs w:val="24"/>
                <w:lang w:eastAsia="zh-CN" w:bidi="ar"/>
              </w:rPr>
              <w:t>沈周村</w:t>
            </w:r>
          </w:p>
        </w:tc>
        <w:tc>
          <w:tcPr>
            <w:tcW w:w="1056" w:type="dxa"/>
            <w:tcBorders>
              <w:top w:val="single" w:color="auto" w:sz="4" w:space="0"/>
              <w:left w:val="single" w:color="auto" w:sz="4" w:space="0"/>
              <w:bottom w:val="single" w:color="auto" w:sz="4" w:space="0"/>
              <w:right w:val="single" w:color="auto" w:sz="4" w:space="0"/>
            </w:tcBorders>
            <w:vAlign w:val="center"/>
          </w:tcPr>
          <w:p w14:paraId="2DA13499">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三级</w:t>
            </w:r>
          </w:p>
        </w:tc>
      </w:tr>
      <w:tr w14:paraId="4B585694">
        <w:tblPrEx>
          <w:tblCellMar>
            <w:top w:w="0" w:type="dxa"/>
            <w:left w:w="108" w:type="dxa"/>
            <w:bottom w:w="0" w:type="dxa"/>
            <w:right w:w="108" w:type="dxa"/>
          </w:tblCellMar>
        </w:tblPrEx>
        <w:trPr>
          <w:trHeight w:val="600"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14:paraId="2160910F">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6</w:t>
            </w:r>
          </w:p>
        </w:tc>
        <w:tc>
          <w:tcPr>
            <w:tcW w:w="2471" w:type="dxa"/>
            <w:tcBorders>
              <w:top w:val="single" w:color="auto" w:sz="4" w:space="0"/>
              <w:left w:val="single" w:color="auto" w:sz="4" w:space="0"/>
              <w:bottom w:val="single" w:color="auto" w:sz="4" w:space="0"/>
              <w:right w:val="single" w:color="auto" w:sz="4" w:space="0"/>
            </w:tcBorders>
            <w:vAlign w:val="center"/>
          </w:tcPr>
          <w:p w14:paraId="70A0B8FD">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苏州泰华燃气有限公司</w:t>
            </w:r>
          </w:p>
        </w:tc>
        <w:tc>
          <w:tcPr>
            <w:tcW w:w="2432" w:type="dxa"/>
            <w:tcBorders>
              <w:top w:val="single" w:color="auto" w:sz="4" w:space="0"/>
              <w:left w:val="single" w:color="auto" w:sz="4" w:space="0"/>
              <w:bottom w:val="single" w:color="auto" w:sz="4" w:space="0"/>
              <w:right w:val="single" w:color="auto" w:sz="4" w:space="0"/>
            </w:tcBorders>
            <w:vAlign w:val="center"/>
          </w:tcPr>
          <w:p w14:paraId="070DF52D">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美宏服务站</w:t>
            </w:r>
          </w:p>
        </w:tc>
        <w:tc>
          <w:tcPr>
            <w:tcW w:w="1936" w:type="dxa"/>
            <w:tcBorders>
              <w:top w:val="single" w:color="auto" w:sz="4" w:space="0"/>
              <w:left w:val="single" w:color="auto" w:sz="4" w:space="0"/>
              <w:bottom w:val="single" w:color="auto" w:sz="4" w:space="0"/>
              <w:right w:val="single" w:color="auto" w:sz="4" w:space="0"/>
            </w:tcBorders>
            <w:vAlign w:val="center"/>
          </w:tcPr>
          <w:p w14:paraId="2CF84D5E">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相城区</w:t>
            </w:r>
            <w:r>
              <w:rPr>
                <w:rFonts w:ascii="Times New Roman" w:hAnsi="Times New Roman" w:eastAsia="仿宋_GB2312" w:cs="仿宋_GB2312"/>
                <w:sz w:val="24"/>
                <w:szCs w:val="24"/>
                <w:lang w:eastAsia="zh-CN" w:bidi="ar"/>
              </w:rPr>
              <w:t>元和街道齐门北大街</w:t>
            </w:r>
          </w:p>
        </w:tc>
        <w:tc>
          <w:tcPr>
            <w:tcW w:w="1056" w:type="dxa"/>
            <w:tcBorders>
              <w:top w:val="single" w:color="auto" w:sz="4" w:space="0"/>
              <w:left w:val="single" w:color="auto" w:sz="4" w:space="0"/>
              <w:bottom w:val="single" w:color="auto" w:sz="4" w:space="0"/>
              <w:right w:val="single" w:color="auto" w:sz="4" w:space="0"/>
            </w:tcBorders>
            <w:vAlign w:val="center"/>
          </w:tcPr>
          <w:p w14:paraId="35910482">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三级</w:t>
            </w:r>
          </w:p>
        </w:tc>
      </w:tr>
      <w:tr w14:paraId="4B77E89B">
        <w:tblPrEx>
          <w:tblCellMar>
            <w:top w:w="0" w:type="dxa"/>
            <w:left w:w="108" w:type="dxa"/>
            <w:bottom w:w="0" w:type="dxa"/>
            <w:right w:w="108" w:type="dxa"/>
          </w:tblCellMar>
        </w:tblPrEx>
        <w:trPr>
          <w:trHeight w:val="600"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14:paraId="3B34CD6D">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7</w:t>
            </w:r>
          </w:p>
        </w:tc>
        <w:tc>
          <w:tcPr>
            <w:tcW w:w="2471" w:type="dxa"/>
            <w:tcBorders>
              <w:top w:val="single" w:color="auto" w:sz="4" w:space="0"/>
              <w:left w:val="single" w:color="auto" w:sz="4" w:space="0"/>
              <w:bottom w:val="single" w:color="auto" w:sz="4" w:space="0"/>
              <w:right w:val="single" w:color="auto" w:sz="4" w:space="0"/>
            </w:tcBorders>
            <w:vAlign w:val="center"/>
          </w:tcPr>
          <w:p w14:paraId="238D5A0B">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苏州泰华燃气有限公司</w:t>
            </w:r>
          </w:p>
        </w:tc>
        <w:tc>
          <w:tcPr>
            <w:tcW w:w="2432" w:type="dxa"/>
            <w:tcBorders>
              <w:top w:val="single" w:color="auto" w:sz="4" w:space="0"/>
              <w:left w:val="single" w:color="auto" w:sz="4" w:space="0"/>
              <w:bottom w:val="single" w:color="auto" w:sz="4" w:space="0"/>
              <w:right w:val="single" w:color="auto" w:sz="4" w:space="0"/>
            </w:tcBorders>
            <w:vAlign w:val="center"/>
          </w:tcPr>
          <w:p w14:paraId="5B1F23BA">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周市服务站</w:t>
            </w:r>
          </w:p>
        </w:tc>
        <w:tc>
          <w:tcPr>
            <w:tcW w:w="1936" w:type="dxa"/>
            <w:tcBorders>
              <w:top w:val="single" w:color="auto" w:sz="4" w:space="0"/>
              <w:left w:val="single" w:color="auto" w:sz="4" w:space="0"/>
              <w:bottom w:val="single" w:color="auto" w:sz="4" w:space="0"/>
              <w:right w:val="single" w:color="auto" w:sz="4" w:space="0"/>
            </w:tcBorders>
            <w:vAlign w:val="center"/>
          </w:tcPr>
          <w:p w14:paraId="591007E4">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昆山市周市镇超英河西市北四组1幢</w:t>
            </w:r>
          </w:p>
        </w:tc>
        <w:tc>
          <w:tcPr>
            <w:tcW w:w="1056" w:type="dxa"/>
            <w:tcBorders>
              <w:top w:val="single" w:color="auto" w:sz="4" w:space="0"/>
              <w:left w:val="single" w:color="auto" w:sz="4" w:space="0"/>
              <w:bottom w:val="single" w:color="auto" w:sz="4" w:space="0"/>
              <w:right w:val="single" w:color="auto" w:sz="4" w:space="0"/>
            </w:tcBorders>
            <w:vAlign w:val="center"/>
          </w:tcPr>
          <w:p w14:paraId="79B03159">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r w14:paraId="56467B31">
        <w:tblPrEx>
          <w:tblCellMar>
            <w:top w:w="0" w:type="dxa"/>
            <w:left w:w="108" w:type="dxa"/>
            <w:bottom w:w="0" w:type="dxa"/>
            <w:right w:w="108" w:type="dxa"/>
          </w:tblCellMar>
        </w:tblPrEx>
        <w:trPr>
          <w:trHeight w:val="600"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14:paraId="4D28D789">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8</w:t>
            </w:r>
          </w:p>
        </w:tc>
        <w:tc>
          <w:tcPr>
            <w:tcW w:w="2471" w:type="dxa"/>
            <w:tcBorders>
              <w:top w:val="single" w:color="auto" w:sz="4" w:space="0"/>
              <w:left w:val="single" w:color="auto" w:sz="4" w:space="0"/>
              <w:bottom w:val="single" w:color="auto" w:sz="4" w:space="0"/>
              <w:right w:val="single" w:color="auto" w:sz="4" w:space="0"/>
            </w:tcBorders>
            <w:vAlign w:val="center"/>
          </w:tcPr>
          <w:p w14:paraId="26CF77DF">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苏州泰华燃气有限公司</w:t>
            </w:r>
          </w:p>
        </w:tc>
        <w:tc>
          <w:tcPr>
            <w:tcW w:w="2432" w:type="dxa"/>
            <w:tcBorders>
              <w:top w:val="single" w:color="auto" w:sz="4" w:space="0"/>
              <w:left w:val="single" w:color="auto" w:sz="4" w:space="0"/>
              <w:bottom w:val="single" w:color="auto" w:sz="4" w:space="0"/>
              <w:right w:val="single" w:color="auto" w:sz="4" w:space="0"/>
            </w:tcBorders>
            <w:vAlign w:val="center"/>
          </w:tcPr>
          <w:p w14:paraId="510F7230">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福林服务站</w:t>
            </w:r>
          </w:p>
        </w:tc>
        <w:tc>
          <w:tcPr>
            <w:tcW w:w="1936" w:type="dxa"/>
            <w:tcBorders>
              <w:top w:val="single" w:color="auto" w:sz="4" w:space="0"/>
              <w:left w:val="single" w:color="auto" w:sz="4" w:space="0"/>
              <w:bottom w:val="single" w:color="auto" w:sz="4" w:space="0"/>
              <w:right w:val="single" w:color="auto" w:sz="4" w:space="0"/>
            </w:tcBorders>
            <w:vAlign w:val="center"/>
          </w:tcPr>
          <w:p w14:paraId="04B5AA39">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吴中区甪直镇车坊瑶盛村金山寺路延伸段</w:t>
            </w:r>
          </w:p>
        </w:tc>
        <w:tc>
          <w:tcPr>
            <w:tcW w:w="1056" w:type="dxa"/>
            <w:tcBorders>
              <w:top w:val="single" w:color="auto" w:sz="4" w:space="0"/>
              <w:left w:val="single" w:color="auto" w:sz="4" w:space="0"/>
              <w:bottom w:val="single" w:color="auto" w:sz="4" w:space="0"/>
              <w:right w:val="single" w:color="auto" w:sz="4" w:space="0"/>
            </w:tcBorders>
            <w:vAlign w:val="center"/>
          </w:tcPr>
          <w:p w14:paraId="65F22A9A">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三级</w:t>
            </w:r>
          </w:p>
        </w:tc>
      </w:tr>
      <w:tr w14:paraId="293D921D">
        <w:tblPrEx>
          <w:tblCellMar>
            <w:top w:w="0" w:type="dxa"/>
            <w:left w:w="108" w:type="dxa"/>
            <w:bottom w:w="0" w:type="dxa"/>
            <w:right w:w="108" w:type="dxa"/>
          </w:tblCellMar>
        </w:tblPrEx>
        <w:trPr>
          <w:trHeight w:val="600"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14:paraId="72713630">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9</w:t>
            </w:r>
          </w:p>
        </w:tc>
        <w:tc>
          <w:tcPr>
            <w:tcW w:w="2471" w:type="dxa"/>
            <w:tcBorders>
              <w:top w:val="single" w:color="auto" w:sz="4" w:space="0"/>
              <w:left w:val="single" w:color="auto" w:sz="4" w:space="0"/>
              <w:bottom w:val="single" w:color="auto" w:sz="4" w:space="0"/>
              <w:right w:val="single" w:color="auto" w:sz="4" w:space="0"/>
            </w:tcBorders>
            <w:vAlign w:val="center"/>
          </w:tcPr>
          <w:p w14:paraId="41775D12">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昆山市锦溪燃气有限责任公司</w:t>
            </w:r>
          </w:p>
        </w:tc>
        <w:tc>
          <w:tcPr>
            <w:tcW w:w="2432" w:type="dxa"/>
            <w:tcBorders>
              <w:top w:val="single" w:color="auto" w:sz="4" w:space="0"/>
              <w:left w:val="single" w:color="auto" w:sz="4" w:space="0"/>
              <w:bottom w:val="single" w:color="auto" w:sz="4" w:space="0"/>
              <w:right w:val="single" w:color="auto" w:sz="4" w:space="0"/>
            </w:tcBorders>
            <w:vAlign w:val="center"/>
          </w:tcPr>
          <w:p w14:paraId="3F765ED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花桥分公司</w:t>
            </w:r>
          </w:p>
        </w:tc>
        <w:tc>
          <w:tcPr>
            <w:tcW w:w="1936" w:type="dxa"/>
            <w:tcBorders>
              <w:top w:val="single" w:color="auto" w:sz="4" w:space="0"/>
              <w:left w:val="single" w:color="auto" w:sz="4" w:space="0"/>
              <w:bottom w:val="single" w:color="auto" w:sz="4" w:space="0"/>
              <w:right w:val="single" w:color="auto" w:sz="4" w:space="0"/>
            </w:tcBorders>
            <w:vAlign w:val="center"/>
          </w:tcPr>
          <w:p w14:paraId="65C09947">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昆山市花桥镇双华路169号</w:t>
            </w:r>
          </w:p>
        </w:tc>
        <w:tc>
          <w:tcPr>
            <w:tcW w:w="1056" w:type="dxa"/>
            <w:tcBorders>
              <w:top w:val="single" w:color="auto" w:sz="4" w:space="0"/>
              <w:left w:val="single" w:color="auto" w:sz="4" w:space="0"/>
              <w:bottom w:val="single" w:color="auto" w:sz="4" w:space="0"/>
              <w:right w:val="single" w:color="auto" w:sz="4" w:space="0"/>
            </w:tcBorders>
            <w:vAlign w:val="center"/>
          </w:tcPr>
          <w:p w14:paraId="4123881C">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r w14:paraId="6043355E">
        <w:tblPrEx>
          <w:tblCellMar>
            <w:top w:w="0" w:type="dxa"/>
            <w:left w:w="108" w:type="dxa"/>
            <w:bottom w:w="0" w:type="dxa"/>
            <w:right w:w="108" w:type="dxa"/>
          </w:tblCellMar>
        </w:tblPrEx>
        <w:trPr>
          <w:trHeight w:val="600" w:hRule="atLeast"/>
          <w:jc w:val="center"/>
        </w:trPr>
        <w:tc>
          <w:tcPr>
            <w:tcW w:w="924" w:type="dxa"/>
            <w:tcBorders>
              <w:top w:val="single" w:color="auto" w:sz="4" w:space="0"/>
              <w:left w:val="single" w:color="auto" w:sz="4" w:space="0"/>
              <w:bottom w:val="single" w:color="auto" w:sz="4" w:space="0"/>
              <w:right w:val="single" w:color="auto" w:sz="4" w:space="0"/>
            </w:tcBorders>
            <w:vAlign w:val="center"/>
          </w:tcPr>
          <w:p w14:paraId="70B0C4F0">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10</w:t>
            </w:r>
          </w:p>
        </w:tc>
        <w:tc>
          <w:tcPr>
            <w:tcW w:w="2471" w:type="dxa"/>
            <w:tcBorders>
              <w:top w:val="single" w:color="auto" w:sz="4" w:space="0"/>
              <w:left w:val="single" w:color="auto" w:sz="4" w:space="0"/>
              <w:bottom w:val="single" w:color="auto" w:sz="4" w:space="0"/>
              <w:right w:val="single" w:color="auto" w:sz="4" w:space="0"/>
            </w:tcBorders>
            <w:vAlign w:val="center"/>
          </w:tcPr>
          <w:p w14:paraId="60942DD3">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常熟中燃港城能源有限公司</w:t>
            </w:r>
          </w:p>
        </w:tc>
        <w:tc>
          <w:tcPr>
            <w:tcW w:w="2432" w:type="dxa"/>
            <w:tcBorders>
              <w:top w:val="single" w:color="auto" w:sz="4" w:space="0"/>
              <w:left w:val="single" w:color="auto" w:sz="4" w:space="0"/>
              <w:bottom w:val="single" w:color="auto" w:sz="4" w:space="0"/>
              <w:right w:val="single" w:color="auto" w:sz="4" w:space="0"/>
            </w:tcBorders>
            <w:vAlign w:val="center"/>
          </w:tcPr>
          <w:p w14:paraId="7AA5435B">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河金服务站</w:t>
            </w:r>
          </w:p>
        </w:tc>
        <w:tc>
          <w:tcPr>
            <w:tcW w:w="1936" w:type="dxa"/>
            <w:tcBorders>
              <w:top w:val="single" w:color="auto" w:sz="4" w:space="0"/>
              <w:left w:val="single" w:color="auto" w:sz="4" w:space="0"/>
              <w:bottom w:val="single" w:color="auto" w:sz="4" w:space="0"/>
              <w:right w:val="single" w:color="auto" w:sz="4" w:space="0"/>
            </w:tcBorders>
            <w:vAlign w:val="center"/>
          </w:tcPr>
          <w:p w14:paraId="365959B2">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hint="eastAsia" w:ascii="Times New Roman" w:hAnsi="Times New Roman" w:eastAsia="仿宋_GB2312" w:cs="仿宋_GB2312"/>
                <w:sz w:val="24"/>
                <w:szCs w:val="24"/>
                <w:lang w:eastAsia="zh-CN" w:bidi="ar"/>
              </w:rPr>
              <w:t>常熟市</w:t>
            </w:r>
            <w:r>
              <w:rPr>
                <w:rFonts w:ascii="Times New Roman" w:hAnsi="Times New Roman" w:eastAsia="仿宋_GB2312" w:cs="仿宋_GB2312"/>
                <w:sz w:val="24"/>
                <w:szCs w:val="24"/>
                <w:lang w:eastAsia="zh-CN" w:bidi="ar"/>
              </w:rPr>
              <w:t>尚湖镇王金路17号</w:t>
            </w:r>
          </w:p>
        </w:tc>
        <w:tc>
          <w:tcPr>
            <w:tcW w:w="1056" w:type="dxa"/>
            <w:tcBorders>
              <w:top w:val="single" w:color="auto" w:sz="4" w:space="0"/>
              <w:left w:val="single" w:color="auto" w:sz="4" w:space="0"/>
              <w:bottom w:val="single" w:color="auto" w:sz="4" w:space="0"/>
              <w:right w:val="single" w:color="auto" w:sz="4" w:space="0"/>
            </w:tcBorders>
            <w:vAlign w:val="center"/>
          </w:tcPr>
          <w:p w14:paraId="6583ADB8">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hint="eastAsia" w:ascii="Times New Roman" w:hAnsi="Times New Roman" w:eastAsia="仿宋_GB2312" w:cs="仿宋_GB2312"/>
                <w:sz w:val="24"/>
                <w:szCs w:val="24"/>
                <w:lang w:eastAsia="zh-CN" w:bidi="ar"/>
              </w:rPr>
            </w:pPr>
            <w:r>
              <w:rPr>
                <w:rFonts w:ascii="Times New Roman" w:hAnsi="Times New Roman" w:eastAsia="仿宋_GB2312" w:cs="仿宋_GB2312"/>
                <w:sz w:val="24"/>
                <w:szCs w:val="24"/>
                <w:lang w:eastAsia="zh-CN" w:bidi="ar"/>
              </w:rPr>
              <w:t>二级</w:t>
            </w:r>
          </w:p>
        </w:tc>
      </w:tr>
    </w:tbl>
    <w:p w14:paraId="543FC4F5">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ascii="Times New Roman" w:hAnsi="Times New Roman" w:eastAsia="仿宋_GB2312" w:cs="Times New Roman"/>
          <w:bCs/>
          <w:snapToGrid w:val="0"/>
          <w:spacing w:val="-6"/>
          <w:sz w:val="32"/>
          <w:szCs w:val="32"/>
          <w:lang w:eastAsia="zh-CN"/>
        </w:rPr>
      </w:pPr>
      <w:r>
        <w:rPr>
          <w:rFonts w:ascii="Times New Roman" w:hAnsi="Times New Roman" w:eastAsia="仿宋_GB2312" w:cs="Times New Roman"/>
          <w:bCs/>
          <w:snapToGrid w:val="0"/>
          <w:spacing w:val="-6"/>
          <w:sz w:val="32"/>
          <w:szCs w:val="32"/>
          <w:lang w:eastAsia="zh-CN"/>
        </w:rPr>
        <w:t>3.标准化改造存量站点：留存的供应站落实分区存放，实瓶区、空瓶区、待检瓶物理隔离；配备通风、报警、消防器材，建立出入库登记台账，严禁超量存放气瓶，禁止住人、禁止混合存放其他易燃易爆物品。</w:t>
      </w:r>
    </w:p>
    <w:p w14:paraId="1E4B24DB">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Times New Roman" w:hAnsi="Times New Roman" w:eastAsia="黑体" w:cs="Times New Roman"/>
          <w:b w:val="0"/>
          <w:color w:val="auto"/>
          <w:kern w:val="44"/>
          <w:sz w:val="32"/>
          <w:szCs w:val="44"/>
          <w:lang w:eastAsia="zh-CN"/>
        </w:rPr>
      </w:pPr>
      <w:r>
        <w:rPr>
          <w:rFonts w:ascii="Times New Roman" w:hAnsi="Times New Roman" w:eastAsia="黑体" w:cs="Times New Roman"/>
          <w:b w:val="0"/>
          <w:color w:val="auto"/>
          <w:kern w:val="44"/>
          <w:sz w:val="32"/>
          <w:szCs w:val="44"/>
          <w:lang w:eastAsia="zh-CN"/>
        </w:rPr>
        <w:t>四、深化城市生命线燃气场景应用</w:t>
      </w:r>
    </w:p>
    <w:p w14:paraId="43D1960A">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全面开展燃气设施普查，建立信息动态更新机制，完善燃气管网“一张图”，实现全要素、全过程、全覆盖监管。深化现有场景应用，强化多场景联动及多源数据融合分析。重点推进瓶装气监管子系统、从业人员电子证书管理子系统建设。瓶装气监管子系统实现充装、配送、使用、回收全流程追溯；电子证书子系统实现资格认证、培训考核、证书管理数字化。</w:t>
      </w:r>
    </w:p>
    <w:p w14:paraId="5A75C51D">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ascii="Times New Roman" w:hAnsi="Times New Roman" w:eastAsia="黑体" w:cs="Times New Roman"/>
          <w:b w:val="0"/>
          <w:color w:val="auto"/>
          <w:kern w:val="44"/>
          <w:sz w:val="32"/>
          <w:szCs w:val="44"/>
          <w:lang w:eastAsia="zh-CN"/>
        </w:rPr>
      </w:pPr>
      <w:r>
        <w:rPr>
          <w:rFonts w:ascii="Times New Roman" w:hAnsi="Times New Roman" w:eastAsia="黑体" w:cs="Times New Roman"/>
          <w:b w:val="0"/>
          <w:color w:val="auto"/>
          <w:kern w:val="44"/>
          <w:sz w:val="32"/>
          <w:szCs w:val="44"/>
          <w:lang w:eastAsia="zh-CN"/>
        </w:rPr>
        <w:t>五、提升燃气安全韧性能力</w:t>
      </w:r>
    </w:p>
    <w:p w14:paraId="7317CE50">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（一）健全安全隐患排查治理机制</w:t>
      </w:r>
    </w:p>
    <w:p w14:paraId="7352B8AA">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坚持“预防为主、防治结合”原则，建立燃气安全隐患常态化排查制度，企业定期开展管网、场站、用户设施安全排查，住建部门定期组织专项检查。推进隐患排查治理数字化，建立隐患台账，实现排查、登记、评估、整改、验收、销号闭环管理，坚决防范遏制燃气安全事故。</w:t>
      </w:r>
    </w:p>
    <w:p w14:paraId="47833749">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（二）强化应急保障能力建设</w:t>
      </w:r>
    </w:p>
    <w:p w14:paraId="0FECCA28">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完善燃气应急预案体系，制定市级、县级市（区）、企业三级应急预案，明确应急组织体系、响应程序、保障措施。定期组织应急演练，提高处置能力。加强应急救援队伍建设，依托企业组建专业队伍，配备必要装备物资。推进应急物资储备库建设，储备抢修设备、管材管件、防护用品等。建立应急指挥调度系统，实现资源统一调度和协同联动。</w:t>
      </w:r>
    </w:p>
    <w:p w14:paraId="0A1423D2">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（三）推进瓶装液化石油气综合治理</w:t>
      </w:r>
    </w:p>
    <w:p w14:paraId="41AEE71C">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严格市场准入，优化储配站和供应站布局，淘汰不符合安全标准的站点。建立配送服务监管体系，规范配送行为，加强用户安全管理，督促使用合格燃气器具和减压阀、软管，定期开展安全检查。</w:t>
      </w:r>
    </w:p>
    <w:p w14:paraId="6DE5035F">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黑体" w:cs="Times New Roman"/>
          <w:b w:val="0"/>
          <w:bCs/>
          <w:color w:val="auto"/>
          <w:kern w:val="44"/>
          <w:sz w:val="32"/>
          <w:szCs w:val="44"/>
          <w:lang w:val="en-US" w:eastAsia="zh-CN" w:bidi="ar-SA"/>
        </w:rPr>
      </w:pPr>
      <w:r>
        <w:rPr>
          <w:rFonts w:ascii="Times New Roman" w:hAnsi="Times New Roman" w:eastAsia="黑体" w:cs="Times New Roman"/>
          <w:b w:val="0"/>
          <w:bCs/>
          <w:color w:val="auto"/>
          <w:kern w:val="44"/>
          <w:sz w:val="32"/>
          <w:szCs w:val="44"/>
          <w:lang w:val="en-US" w:eastAsia="zh-CN" w:bidi="ar-SA"/>
        </w:rPr>
        <w:t>六、优化燃气利用结构与绿色低碳发展</w:t>
      </w:r>
    </w:p>
    <w:p w14:paraId="05BF4A6D">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（一）有序扩大天然气消费</w:t>
      </w:r>
    </w:p>
    <w:p w14:paraId="1696F544">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居民生活领域继续推进普及，到2030年家庭用户达450万户以上；商业服务领域推进餐饮、酒店、医院、学校等用户替代；工业领域有序推进燃料替代，重点推进陶瓷、玻璃、纺织、化工等行业。优化消费结构，优先保障居民和公共服务用气，合理满足工业用气，有序推进交通领域利用。推进价格市场化改革，完善价格形成机制，降低用气成本。加强需求侧管理，引导合理用气、节约用气。到2030年，全市年供气量达48.67亿立方米，其中居民约10.22亿立方米、商业约3.94亿立方米、工业约34.46亿立方米、分布式能源及其他约0.5亿立方米。</w:t>
      </w:r>
    </w:p>
    <w:p w14:paraId="384BF7FD">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（二）推进天然气分布式能源发展</w:t>
      </w:r>
    </w:p>
    <w:p w14:paraId="557566EC">
      <w:pPr>
        <w:keepNext w:val="0"/>
        <w:keepLines w:val="0"/>
        <w:pageBreakBefore w:val="0"/>
        <w:kinsoku/>
        <w:wordWrap/>
        <w:overflowPunct/>
        <w:topLinePunct w:val="0"/>
        <w:autoSpaceDE/>
        <w:autoSpaceDN/>
        <w:bidi w:val="0"/>
        <w:adjustRightInd/>
        <w:snapToGrid/>
        <w:spacing w:after="0" w:line="560" w:lineRule="exact"/>
        <w:ind w:firstLine="420"/>
        <w:textAlignment w:val="auto"/>
        <w:rPr>
          <w:rFonts w:ascii="Times New Roman" w:hAnsi="Times New Roman"/>
          <w:lang w:eastAsia="zh-CN"/>
        </w:rPr>
      </w:pPr>
      <w:r>
        <w:rPr>
          <w:rFonts w:hint="eastAsia" w:ascii="Times New Roman" w:hAnsi="Times New Roman" w:eastAsia="仿宋_GB2312" w:cs="Times New Roman"/>
          <w:bCs/>
          <w:snapToGrid w:val="0"/>
          <w:spacing w:val="-6"/>
          <w:sz w:val="32"/>
          <w:szCs w:val="32"/>
          <w:lang w:val="en-US" w:eastAsia="zh-CN"/>
        </w:rPr>
        <w:t>在工业园区、商业综合体、医院、学校、数据中心等能源需求集中区域，因地制宜发展天然气分布式能源，实现冷、热、电三联供。鼓励企业参与项目投资建设和运营管理，提供综合能源服务。</w:t>
      </w:r>
    </w:p>
    <w:p w14:paraId="2BF314DF">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黑体" w:cs="Times New Roman"/>
          <w:b w:val="0"/>
          <w:bCs/>
          <w:color w:val="auto"/>
          <w:kern w:val="44"/>
          <w:sz w:val="32"/>
          <w:szCs w:val="44"/>
          <w:lang w:val="en-US" w:eastAsia="zh-CN" w:bidi="ar-SA"/>
        </w:rPr>
      </w:pPr>
      <w:r>
        <w:rPr>
          <w:rFonts w:ascii="Times New Roman" w:hAnsi="Times New Roman" w:eastAsia="黑体" w:cs="Times New Roman"/>
          <w:b w:val="0"/>
          <w:bCs/>
          <w:color w:val="auto"/>
          <w:kern w:val="44"/>
          <w:sz w:val="32"/>
          <w:szCs w:val="44"/>
          <w:lang w:val="en-US" w:eastAsia="zh-CN" w:bidi="ar-SA"/>
        </w:rPr>
        <w:t>七、推进城乡燃气协调发展</w:t>
      </w:r>
    </w:p>
    <w:p w14:paraId="2774821C">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（一）推进农村天然气通达工程</w:t>
      </w:r>
    </w:p>
    <w:p w14:paraId="3BB03082">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推进农村天然气通达工程。将农村管道接入率纳入农业农村现代化指标体系，统筹推进农村管网建设。结合乡村振兴和农村人居环境整治，科学规划布局，有序推进管网向农村延伸。创新建设运营模式，鼓励企业参与建设运营。研究制定补贴政策，降低农村用户用气成本，新增农村用户约30万户。</w:t>
      </w:r>
    </w:p>
    <w:p w14:paraId="7141B7E0">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（二）规范燃气汽车加气站发展</w:t>
      </w:r>
    </w:p>
    <w:p w14:paraId="0138059D">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结合新能源汽车发展趋势和天然气汽车市场需求，科学规划加气站布局，有序推进LNG加气站建设。推进加油加气合建站建设，提高土地利用效率和服务能力，计划于国、省公路等交通干道新建LNG汽车加气站约12座，停运汽车加气站7座。</w:t>
      </w:r>
    </w:p>
    <w:p w14:paraId="5D3C079D">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黑体" w:cs="Times New Roman"/>
          <w:b w:val="0"/>
          <w:bCs/>
          <w:color w:val="auto"/>
          <w:kern w:val="44"/>
          <w:sz w:val="32"/>
          <w:szCs w:val="44"/>
          <w:lang w:val="en-US" w:eastAsia="zh-CN" w:bidi="ar-SA"/>
        </w:rPr>
      </w:pPr>
      <w:r>
        <w:rPr>
          <w:rFonts w:ascii="Times New Roman" w:hAnsi="Times New Roman" w:eastAsia="黑体" w:cs="Times New Roman"/>
          <w:b w:val="0"/>
          <w:bCs/>
          <w:color w:val="auto"/>
          <w:kern w:val="44"/>
          <w:sz w:val="32"/>
          <w:szCs w:val="44"/>
          <w:lang w:val="en-US" w:eastAsia="zh-CN" w:bidi="ar-SA"/>
        </w:rPr>
        <w:t>八、完善燃气行业治理体系</w:t>
      </w:r>
    </w:p>
    <w:p w14:paraId="62FCF8FC">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（一）健全法规标准体系</w:t>
      </w:r>
    </w:p>
    <w:p w14:paraId="1DE8D6E2">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结合苏州实际研究制定配套制度，完善规划、建设、运营、管理、应急等方面制度规范。继续推进企业安全生产标准化建设。</w:t>
      </w:r>
    </w:p>
    <w:p w14:paraId="08884ED5">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（二）强化行业监管能力</w:t>
      </w:r>
    </w:p>
    <w:p w14:paraId="7044F3BA">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完善燃气经营许可制度，严格市场准入，加强企业资质管理。推进信用体系建设，建立企业信用评价制度，实施信用分级分类监管。加强日常监管，建立"双随机、一公开"机制，加大监督检查力度。推进监管信息化，依托智慧燃气平台实现数字化、智能化监管。建立监管数据共享机制，加强住建、应急、市场监管、公安、交通等部门协同，形成监管合力。加强监管队伍建设，提高专业能力和执法水平。</w:t>
      </w:r>
    </w:p>
    <w:p w14:paraId="2047292C">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（三）提升燃气服务质量</w:t>
      </w:r>
    </w:p>
    <w:p w14:paraId="65034789">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推进服务标准化建设，制定服务标准规范，明确服务内容、流程、时限。优化报装流程，简化手续，压缩时限，提高效率。推进“一网通办”，实现开户、缴费、报修、过户等业务线上办理。完善服务质量评价机制，建立用户满意度调查制度。推进服务热线建设，确保24小时畅通，及时响应处置报修投诉。建立投诉处理机制，维护用户合法权益。</w:t>
      </w:r>
    </w:p>
    <w:p w14:paraId="49DC48B5">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黑体" w:cs="Times New Roman"/>
          <w:b w:val="0"/>
          <w:bCs/>
          <w:color w:val="auto"/>
          <w:kern w:val="44"/>
          <w:sz w:val="32"/>
          <w:szCs w:val="44"/>
          <w:lang w:val="en-US" w:eastAsia="zh-CN" w:bidi="ar-SA"/>
        </w:rPr>
      </w:pPr>
      <w:r>
        <w:rPr>
          <w:rFonts w:ascii="Times New Roman" w:hAnsi="Times New Roman" w:eastAsia="黑体" w:cs="Times New Roman"/>
          <w:b w:val="0"/>
          <w:bCs/>
          <w:color w:val="auto"/>
          <w:kern w:val="44"/>
          <w:sz w:val="32"/>
          <w:szCs w:val="44"/>
          <w:lang w:val="en-US" w:eastAsia="zh-CN" w:bidi="ar-SA"/>
        </w:rPr>
        <w:t>九、保障措施</w:t>
      </w:r>
    </w:p>
    <w:p w14:paraId="22DE1DD9">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（一）强化组织领导</w:t>
      </w:r>
    </w:p>
    <w:p w14:paraId="3E2BDC5B">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建立健全市燃气发展规划实施工作机制，市住房和城乡建设局牵头统筹协调，会同相关部门建立协同推进机制。各县级市（区）结合实际制定本地区规划或实施方案，明确目标任务、责任分工和时间节点。</w:t>
      </w:r>
    </w:p>
    <w:p w14:paraId="33B176AF">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（二）强化要素保障</w:t>
      </w:r>
    </w:p>
    <w:p w14:paraId="3A22F96E">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加大对燃气基础设施建设、老旧管道改造、智慧燃气建设、农村天然气通达等支持力度。推动建立多元化投融资体系，鼓励社会资本参与建设运营。研究制定农村天然气建设、老旧管道改造、“瓶改管”“瓶改电”等财政补贴政策。</w:t>
      </w:r>
    </w:p>
    <w:p w14:paraId="6AC7D357">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将燃气设施建设用地纳入国土空间规划，保障门站、调压站、LNG储配站、高压管道等用地需求。优化用地审批流程，加强用地保护。</w:t>
      </w:r>
    </w:p>
    <w:p w14:paraId="0F039D68">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加强从业人员培训，建立专家库。加大技术创新投入，鼓励企业与高校、科研机构合作，开展燃气安全、智慧燃气、低碳燃气等关键技术研发和成果转化。强化数据安全管理。</w:t>
      </w:r>
    </w:p>
    <w:p w14:paraId="18BA485F">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（三）强化项目管理</w:t>
      </w:r>
    </w:p>
    <w:p w14:paraId="3D7710B8">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建立健全燃气项目库，构建项目与政策匹配机制，建立项目动态管理机制，加强储备和前期工作。各县级市（区）优先推进民生保障、安全提升、智慧发展等重点项目。严格项目建设管理，落实项目法人责任制、招标投标制、工程监理制、合同管理制，确保工程质量安全。加强全过程监督，严格竣工验收制度。</w:t>
      </w:r>
    </w:p>
    <w:p w14:paraId="1BC94321">
      <w:pPr>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b w:val="0"/>
          <w:bCs/>
          <w:color w:val="auto"/>
          <w:sz w:val="32"/>
          <w:szCs w:val="32"/>
          <w:lang w:val="en-US" w:eastAsia="zh-CN" w:bidi="ar-SA"/>
        </w:rPr>
      </w:pPr>
      <w:r>
        <w:rPr>
          <w:rFonts w:hint="eastAsia" w:ascii="Times New Roman" w:hAnsi="Times New Roman" w:eastAsia="楷体_GB2312" w:cs="楷体_GB2312"/>
          <w:b w:val="0"/>
          <w:bCs/>
          <w:color w:val="auto"/>
          <w:sz w:val="32"/>
          <w:szCs w:val="32"/>
          <w:lang w:val="en-US" w:eastAsia="zh-CN" w:bidi="ar-SA"/>
        </w:rPr>
        <w:t>（四）强化监督评估</w:t>
      </w:r>
    </w:p>
    <w:p w14:paraId="13210C21">
      <w:pPr>
        <w:keepNext w:val="0"/>
        <w:keepLines w:val="0"/>
        <w:pageBreakBefore w:val="0"/>
        <w:widowControl w:val="0"/>
        <w:kinsoku/>
        <w:wordWrap/>
        <w:overflowPunct/>
        <w:topLinePunct w:val="0"/>
        <w:autoSpaceDE/>
        <w:autoSpaceDN/>
        <w:bidi w:val="0"/>
        <w:adjustRightInd/>
        <w:snapToGrid/>
        <w:spacing w:after="0" w:line="560" w:lineRule="exact"/>
        <w:ind w:firstLine="616" w:firstLineChars="200"/>
        <w:jc w:val="both"/>
        <w:textAlignment w:val="auto"/>
        <w:rPr>
          <w:rFonts w:hint="eastAsia" w:ascii="Times New Roman" w:hAnsi="Times New Roman" w:eastAsia="仿宋_GB2312" w:cs="Times New Roman"/>
          <w:bCs/>
          <w:snapToGrid w:val="0"/>
          <w:spacing w:val="-6"/>
          <w:sz w:val="32"/>
          <w:szCs w:val="32"/>
          <w:lang w:val="en-US" w:eastAsia="zh-CN"/>
        </w:rPr>
      </w:pPr>
      <w:r>
        <w:rPr>
          <w:rFonts w:hint="eastAsia" w:ascii="Times New Roman" w:hAnsi="Times New Roman" w:eastAsia="仿宋_GB2312" w:cs="Times New Roman"/>
          <w:bCs/>
          <w:snapToGrid w:val="0"/>
          <w:spacing w:val="-6"/>
          <w:sz w:val="32"/>
          <w:szCs w:val="32"/>
          <w:lang w:val="en-US" w:eastAsia="zh-CN"/>
        </w:rPr>
        <w:t>建立规划评估机制，在中期和期末组织开展评估，全面评估实施成效、存在问题和原因，提出优化调整建议。评估结果作为规划调整和下一轮规划编制的重要依据。根据评估结果和实际变化，按程序动态调整规划。</w:t>
      </w:r>
    </w:p>
    <w:sectPr>
      <w:pgSz w:w="12240" w:h="15840"/>
      <w:pgMar w:top="2098" w:right="1474" w:bottom="181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ＭＳ 明朝">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ＭＳ ゴシック">
    <w:altName w:val="仿宋_GB2312"/>
    <w:panose1 w:val="00000000000000000000"/>
    <w:charset w:val="00"/>
    <w:family w:val="auto"/>
    <w:pitch w:val="default"/>
    <w:sig w:usb0="00000000" w:usb1="00000000" w:usb2="00000000" w:usb3="00000000" w:csb0="00000000" w:csb1="00000000"/>
  </w:font>
  <w:font w:name="Courier">
    <w:altName w:val="Liberation Mono"/>
    <w:panose1 w:val="02070409020205020404"/>
    <w:charset w:val="00"/>
    <w:family w:val="auto"/>
    <w:pitch w:val="default"/>
    <w:sig w:usb0="00000000" w:usb1="00000000" w:usb2="00000000" w:usb3="00000000" w:csb0="00000093" w:csb1="00000000"/>
  </w:font>
  <w:font w:name="Liberation Mono">
    <w:panose1 w:val="02070409020205020404"/>
    <w:charset w:val="00"/>
    <w:family w:val="auto"/>
    <w:pitch w:val="default"/>
    <w:sig w:usb0="A00002AF" w:usb1="400078FB" w:usb2="00000000" w:usb3="00000000" w:csb0="6000009F" w:csb1="DFD70000"/>
  </w:font>
  <w:font w:name="方正小标宋_GBK">
    <w:panose1 w:val="02000000000000000000"/>
    <w:charset w:val="86"/>
    <w:family w:val="script"/>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1"/>
  <w:bordersDoNotSurroundFooter w:val="1"/>
  <w:documentProtection w:enforcement="0"/>
  <w:defaultTabStop w:val="720"/>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43FF"/>
    <w:rsid w:val="00034616"/>
    <w:rsid w:val="0006063C"/>
    <w:rsid w:val="00062A38"/>
    <w:rsid w:val="0015074B"/>
    <w:rsid w:val="0015737B"/>
    <w:rsid w:val="001C7498"/>
    <w:rsid w:val="0029639D"/>
    <w:rsid w:val="003172D3"/>
    <w:rsid w:val="00326F90"/>
    <w:rsid w:val="003650BD"/>
    <w:rsid w:val="00381474"/>
    <w:rsid w:val="003909ED"/>
    <w:rsid w:val="003C17F2"/>
    <w:rsid w:val="00435F1B"/>
    <w:rsid w:val="00436B51"/>
    <w:rsid w:val="0045024A"/>
    <w:rsid w:val="00631D99"/>
    <w:rsid w:val="006A3DE6"/>
    <w:rsid w:val="006E3107"/>
    <w:rsid w:val="00737309"/>
    <w:rsid w:val="00815060"/>
    <w:rsid w:val="009B6A6E"/>
    <w:rsid w:val="009F40B4"/>
    <w:rsid w:val="00A75288"/>
    <w:rsid w:val="00AA1D8D"/>
    <w:rsid w:val="00AB74C6"/>
    <w:rsid w:val="00AE1DE6"/>
    <w:rsid w:val="00B2102A"/>
    <w:rsid w:val="00B47730"/>
    <w:rsid w:val="00B55293"/>
    <w:rsid w:val="00BB4B4A"/>
    <w:rsid w:val="00C0303C"/>
    <w:rsid w:val="00C35785"/>
    <w:rsid w:val="00C70C49"/>
    <w:rsid w:val="00C9217A"/>
    <w:rsid w:val="00CB0664"/>
    <w:rsid w:val="00CC4264"/>
    <w:rsid w:val="00CF167E"/>
    <w:rsid w:val="00E41918"/>
    <w:rsid w:val="00EF61AF"/>
    <w:rsid w:val="00F04DAF"/>
    <w:rsid w:val="00F963B2"/>
    <w:rsid w:val="00FC693F"/>
    <w:rsid w:val="05406FF4"/>
    <w:rsid w:val="1B23666B"/>
    <w:rsid w:val="44DD53E0"/>
    <w:rsid w:val="7FDF2C96"/>
    <w:rsid w:val="7FF7990C"/>
    <w:rsid w:val="B1FE6D90"/>
    <w:rsid w:val="BAFF40AC"/>
    <w:rsid w:val="DBED7059"/>
    <w:rsid w:val="FCF5672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不明显强调1"/>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132"/>
    <w:qFormat/>
    <w:uiPriority w:val="21"/>
    <w:rPr>
      <w:b/>
      <w:bCs/>
      <w:i/>
      <w:iCs/>
      <w:color w:val="4F81BD" w:themeColor="accent1"/>
      <w14:textFill>
        <w14:solidFill>
          <w14:schemeClr w14:val="accent1"/>
        </w14:solidFill>
      </w14:textFill>
    </w:rPr>
  </w:style>
  <w:style w:type="character" w:customStyle="1" w:styleId="160">
    <w:name w:val="不明显参考1"/>
    <w:basedOn w:val="132"/>
    <w:qFormat/>
    <w:uiPriority w:val="31"/>
    <w:rPr>
      <w:smallCaps/>
      <w:color w:val="C0504D" w:themeColor="accent2"/>
      <w:u w:val="single"/>
      <w14:textFill>
        <w14:solidFill>
          <w14:schemeClr w14:val="accent2"/>
        </w14:solidFill>
      </w14:textFill>
    </w:rPr>
  </w:style>
  <w:style w:type="character" w:customStyle="1" w:styleId="161">
    <w:name w:val="明显参考1"/>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132"/>
    <w:qFormat/>
    <w:uiPriority w:val="33"/>
    <w:rPr>
      <w:b/>
      <w:bCs/>
      <w:smallCaps/>
      <w:spacing w:val="5"/>
    </w:rPr>
  </w:style>
  <w:style w:type="paragraph" w:customStyle="1" w:styleId="163">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11</Pages>
  <Words>2613</Words>
  <Characters>2666</Characters>
  <Lines>190</Lines>
  <Paragraphs>211</Paragraphs>
  <TotalTime>6</TotalTime>
  <ScaleCrop>false</ScaleCrop>
  <LinksUpToDate>false</LinksUpToDate>
  <CharactersWithSpaces>5068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2013-12-25T23:15:00Z</dcterms:created>
  <dc:creator>python-docx</dc:creator>
  <dc:description>generated by python-docx</dc:description>
  <cp:lastModifiedBy>zhao.</cp:lastModifiedBy>
  <cp:lastPrinted>2026-08-27T17:20:00Z</cp:lastPrinted>
  <dcterms:modified xsi:type="dcterms:W3CDTF">2026-08-27T14:07:22Z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eyJoZGlkIjoiNTk5YjBlZDdiODczZTE3YjBjMTRiZDk1YzEzZWNjOTEiLCJ1c2VySWQiOiI0NTIwODA2MjcifQ==</vt:lpwstr>
  </property>
  <property fmtid="{D5CDD505-2E9C-101B-9397-08002B2CF9AE}" pid="3" name="KSOProductBuildVer">
    <vt:lpwstr>2052-12.8.2.1119</vt:lpwstr>
  </property>
  <property fmtid="{D5CDD505-2E9C-101B-9397-08002B2CF9AE}" pid="4" name="ICV">
    <vt:lpwstr>CF7FB036FC22466AA2DFE4E139E0A087_13</vt:lpwstr>
  </property>
</Properties>
</file>