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999D0">
      <w:pPr>
        <w:adjustRightInd w:val="0"/>
        <w:snapToGrid w:val="0"/>
        <w:spacing w:line="560" w:lineRule="exact"/>
        <w:jc w:val="center"/>
        <w:rPr>
          <w:rFonts w:ascii="Times New Roman" w:hAnsi="Times New Roman" w:eastAsia="方正小标宋_GBK" w:cs="Times New Roman"/>
          <w:spacing w:val="-11"/>
          <w:sz w:val="44"/>
          <w:szCs w:val="44"/>
        </w:rPr>
      </w:pPr>
      <w:bookmarkStart w:id="0" w:name="OLE_LINK3"/>
      <w:bookmarkStart w:id="1" w:name="_Toc231814192"/>
      <w:bookmarkStart w:id="2" w:name="_Toc217396629"/>
      <w:bookmarkStart w:id="3" w:name="OLE_LINK2"/>
      <w:bookmarkStart w:id="4" w:name="_Toc8669"/>
      <w:bookmarkStart w:id="5" w:name="_Toc217377137"/>
      <w:r>
        <w:rPr>
          <w:rFonts w:hint="eastAsia" w:ascii="Times New Roman" w:hAnsi="Times New Roman" w:eastAsia="方正小标宋_GBK" w:cs="Times New Roman"/>
          <w:spacing w:val="-11"/>
          <w:sz w:val="44"/>
          <w:szCs w:val="44"/>
        </w:rPr>
        <w:t>苏州市“十五五”城市抗震防灾设施</w:t>
      </w:r>
      <w:bookmarkEnd w:id="0"/>
      <w:bookmarkEnd w:id="1"/>
      <w:bookmarkEnd w:id="2"/>
      <w:bookmarkEnd w:id="3"/>
      <w:bookmarkEnd w:id="4"/>
      <w:bookmarkEnd w:id="5"/>
      <w:r>
        <w:rPr>
          <w:rFonts w:hint="eastAsia" w:ascii="Times New Roman" w:hAnsi="Times New Roman" w:eastAsia="方正小标宋_GBK" w:cs="Times New Roman"/>
          <w:spacing w:val="-11"/>
          <w:sz w:val="44"/>
          <w:szCs w:val="44"/>
        </w:rPr>
        <w:t>建设专篇</w:t>
      </w:r>
    </w:p>
    <w:p w14:paraId="6FDF990A">
      <w:pPr>
        <w:spacing w:line="560" w:lineRule="exact"/>
        <w:jc w:val="center"/>
        <w:rPr>
          <w:rFonts w:hint="eastAsia" w:ascii="楷体_GB2312" w:hAnsi="楷体_GB2312" w:eastAsia="楷体_GB2312" w:cs="楷体_GB2312"/>
          <w:bCs/>
          <w:snapToGrid w:val="0"/>
          <w:spacing w:val="-6"/>
          <w:kern w:val="0"/>
          <w:sz w:val="32"/>
          <w:szCs w:val="32"/>
        </w:rPr>
      </w:pPr>
      <w:r>
        <w:rPr>
          <w:rFonts w:hint="eastAsia" w:ascii="楷体_GB2312" w:hAnsi="楷体_GB2312" w:eastAsia="楷体_GB2312" w:cs="楷体_GB2312"/>
          <w:bCs/>
          <w:snapToGrid w:val="0"/>
          <w:spacing w:val="-6"/>
          <w:kern w:val="0"/>
          <w:sz w:val="32"/>
          <w:szCs w:val="32"/>
        </w:rPr>
        <w:t>（征求意见稿）</w:t>
      </w:r>
    </w:p>
    <w:p w14:paraId="3499D1FB">
      <w:pPr>
        <w:spacing w:line="560" w:lineRule="exact"/>
        <w:ind w:firstLine="616" w:firstLineChars="200"/>
        <w:rPr>
          <w:rFonts w:ascii="Times New Roman" w:hAnsi="Times New Roman" w:eastAsia="仿宋_GB2312" w:cs="Times New Roman"/>
          <w:bCs/>
          <w:snapToGrid w:val="0"/>
          <w:spacing w:val="-6"/>
          <w:kern w:val="0"/>
          <w:sz w:val="32"/>
          <w:szCs w:val="32"/>
        </w:rPr>
      </w:pPr>
    </w:p>
    <w:p w14:paraId="2D410507">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一、</w:t>
      </w:r>
      <w:r>
        <w:rPr>
          <w:rFonts w:ascii="Times New Roman" w:hAnsi="Times New Roman"/>
          <w:b w:val="0"/>
          <w:bCs/>
        </w:rPr>
        <w:t>总则</w:t>
      </w:r>
    </w:p>
    <w:p w14:paraId="4A34863F">
      <w:pPr>
        <w:pStyle w:val="3"/>
        <w:keepNext w:val="0"/>
        <w:keepLines w:val="0"/>
        <w:spacing w:before="0" w:after="0" w:line="560" w:lineRule="exact"/>
        <w:ind w:firstLine="643"/>
        <w:rPr>
          <w:rFonts w:ascii="Times New Roman" w:hAnsi="Times New Roman" w:cs="Times New Roman"/>
          <w:b w:val="0"/>
          <w:bCs/>
        </w:rPr>
      </w:pPr>
      <w:bookmarkStart w:id="6" w:name="OLE_LINK1"/>
      <w:r>
        <w:rPr>
          <w:rFonts w:hint="eastAsia" w:ascii="Times New Roman" w:hAnsi="Times New Roman" w:cs="Times New Roman"/>
          <w:b w:val="0"/>
          <w:bCs/>
        </w:rPr>
        <w:t>（一）</w:t>
      </w:r>
      <w:bookmarkEnd w:id="6"/>
      <w:r>
        <w:rPr>
          <w:rFonts w:hint="eastAsia" w:ascii="Times New Roman" w:hAnsi="Times New Roman" w:cs="Times New Roman"/>
          <w:b w:val="0"/>
          <w:bCs/>
        </w:rPr>
        <w:t>规划背景与意义</w:t>
      </w:r>
    </w:p>
    <w:p w14:paraId="75CE0D04">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ascii="Times New Roman" w:hAnsi="Times New Roman" w:eastAsia="仿宋_GB2312" w:cs="Times New Roman"/>
          <w:b w:val="0"/>
          <w:bCs/>
          <w:snapToGrid w:val="0"/>
          <w:spacing w:val="-6"/>
          <w:kern w:val="0"/>
          <w:sz w:val="32"/>
          <w:szCs w:val="32"/>
        </w:rPr>
        <w:t>苏州市是国家历史文化名城和风景旅游城市，国家高新技术产业基地，长江三角洲重要的中心城市之一</w:t>
      </w:r>
      <w:r>
        <w:rPr>
          <w:rFonts w:hint="eastAsia" w:ascii="Times New Roman" w:hAnsi="Times New Roman" w:eastAsia="仿宋_GB2312" w:cs="Times New Roman"/>
          <w:b w:val="0"/>
          <w:bCs/>
          <w:snapToGrid w:val="0"/>
          <w:spacing w:val="-6"/>
          <w:kern w:val="0"/>
          <w:sz w:val="32"/>
          <w:szCs w:val="32"/>
        </w:rPr>
        <w:t>，</w:t>
      </w:r>
      <w:r>
        <w:rPr>
          <w:rFonts w:ascii="Times New Roman" w:hAnsi="Times New Roman" w:eastAsia="仿宋_GB2312" w:cs="Times New Roman"/>
          <w:b w:val="0"/>
          <w:bCs/>
          <w:snapToGrid w:val="0"/>
          <w:spacing w:val="-6"/>
          <w:kern w:val="0"/>
          <w:sz w:val="32"/>
          <w:szCs w:val="32"/>
        </w:rPr>
        <w:t>是江苏长江经济带重要组成部分，保障苏州市城市抗震防灾安全具有重要的意义。</w:t>
      </w:r>
    </w:p>
    <w:p w14:paraId="74B6DAE7">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ascii="Times New Roman" w:hAnsi="Times New Roman" w:eastAsia="仿宋_GB2312" w:cs="Times New Roman"/>
          <w:b w:val="0"/>
          <w:bCs/>
          <w:snapToGrid w:val="0"/>
          <w:spacing w:val="-6"/>
          <w:kern w:val="0"/>
          <w:sz w:val="32"/>
          <w:szCs w:val="32"/>
        </w:rPr>
        <w:t>随着城市快速扩张、产业与基础设施不断更新，原有抗震防灾体系已难以适配现代化城市发展需求，防御短板逐步凸显。结合国家有关政策和规范的最新发展，</w:t>
      </w:r>
      <w:r>
        <w:rPr>
          <w:rFonts w:hint="eastAsia" w:ascii="Times New Roman" w:hAnsi="Times New Roman" w:eastAsia="仿宋_GB2312" w:cs="Times New Roman"/>
          <w:b w:val="0"/>
          <w:bCs/>
          <w:snapToGrid w:val="0"/>
          <w:spacing w:val="-6"/>
          <w:kern w:val="0"/>
          <w:sz w:val="32"/>
          <w:szCs w:val="32"/>
        </w:rPr>
        <w:t>苏州市亟须</w:t>
      </w:r>
      <w:r>
        <w:rPr>
          <w:rFonts w:ascii="Times New Roman" w:hAnsi="Times New Roman" w:eastAsia="仿宋_GB2312" w:cs="Times New Roman"/>
          <w:b w:val="0"/>
          <w:bCs/>
          <w:snapToGrid w:val="0"/>
          <w:spacing w:val="-6"/>
          <w:kern w:val="0"/>
          <w:sz w:val="32"/>
          <w:szCs w:val="32"/>
        </w:rPr>
        <w:t>编制专项抗震防灾规划，为城市防灾建设和灾后救援提供规划和决策依据。</w:t>
      </w:r>
    </w:p>
    <w:p w14:paraId="47F5A390">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（二）规划范围、规划期限</w:t>
      </w:r>
    </w:p>
    <w:p w14:paraId="073CBB16">
      <w:pPr>
        <w:pStyle w:val="4"/>
        <w:spacing w:before="40" w:after="40"/>
        <w:ind w:firstLine="643"/>
        <w:rPr>
          <w:rFonts w:ascii="Times New Roman" w:hAnsi="Times New Roman" w:cs="Times New Roman"/>
          <w:b w:val="0"/>
          <w:bCs/>
          <w:snapToGrid w:val="0"/>
          <w:spacing w:val="-6"/>
          <w:kern w:val="0"/>
        </w:rPr>
      </w:pPr>
      <w:r>
        <w:rPr>
          <w:rFonts w:hint="eastAsia" w:ascii="Times New Roman" w:hAnsi="Times New Roman"/>
          <w:b w:val="0"/>
          <w:bCs/>
        </w:rPr>
        <w:t>1</w:t>
      </w:r>
      <w:r>
        <w:rPr>
          <w:rFonts w:ascii="Times New Roman" w:hAnsi="Times New Roman"/>
          <w:b w:val="0"/>
          <w:bCs/>
        </w:rPr>
        <w:t>.规划范围</w:t>
      </w:r>
      <w:r>
        <w:rPr>
          <w:rFonts w:hint="eastAsia" w:ascii="Times New Roman" w:hAnsi="Times New Roman"/>
          <w:b w:val="0"/>
          <w:bCs/>
        </w:rPr>
        <w:t>：</w:t>
      </w:r>
      <w:r>
        <w:rPr>
          <w:rFonts w:ascii="Times New Roman" w:hAnsi="Times New Roman" w:cs="Times New Roman"/>
          <w:b w:val="0"/>
          <w:bCs/>
          <w:snapToGrid w:val="0"/>
          <w:spacing w:val="-6"/>
          <w:kern w:val="0"/>
        </w:rPr>
        <w:t>覆盖苏州全市</w:t>
      </w:r>
      <w:r>
        <w:rPr>
          <w:rFonts w:hint="eastAsia" w:ascii="Times New Roman" w:hAnsi="Times New Roman" w:cs="Times New Roman"/>
          <w:b w:val="0"/>
          <w:bCs/>
          <w:snapToGrid w:val="0"/>
          <w:spacing w:val="-6"/>
          <w:kern w:val="0"/>
        </w:rPr>
        <w:t>6</w:t>
      </w:r>
      <w:r>
        <w:rPr>
          <w:rFonts w:ascii="Times New Roman" w:hAnsi="Times New Roman" w:cs="Times New Roman"/>
          <w:b w:val="0"/>
          <w:bCs/>
          <w:snapToGrid w:val="0"/>
          <w:spacing w:val="-6"/>
          <w:kern w:val="0"/>
        </w:rPr>
        <w:t>区</w:t>
      </w:r>
      <w:r>
        <w:rPr>
          <w:rFonts w:hint="eastAsia" w:ascii="Times New Roman" w:hAnsi="Times New Roman" w:cs="Times New Roman"/>
          <w:b w:val="0"/>
          <w:bCs/>
          <w:snapToGrid w:val="0"/>
          <w:spacing w:val="-6"/>
          <w:kern w:val="0"/>
        </w:rPr>
        <w:t>4</w:t>
      </w:r>
      <w:r>
        <w:rPr>
          <w:rFonts w:ascii="Times New Roman" w:hAnsi="Times New Roman" w:cs="Times New Roman"/>
          <w:b w:val="0"/>
          <w:bCs/>
          <w:snapToGrid w:val="0"/>
          <w:spacing w:val="-6"/>
          <w:kern w:val="0"/>
        </w:rPr>
        <w:t>个县级市全域行政辖区，总面积</w:t>
      </w:r>
      <w:r>
        <w:rPr>
          <w:rFonts w:hint="eastAsia" w:ascii="Times New Roman" w:hAnsi="Times New Roman" w:cs="Times New Roman"/>
          <w:b w:val="0"/>
          <w:bCs/>
          <w:snapToGrid w:val="0"/>
          <w:spacing w:val="-6"/>
          <w:kern w:val="0"/>
        </w:rPr>
        <w:t>8488</w:t>
      </w:r>
      <w:r>
        <w:rPr>
          <w:rFonts w:ascii="Times New Roman" w:hAnsi="Times New Roman" w:cs="Times New Roman"/>
          <w:b w:val="0"/>
          <w:bCs/>
          <w:snapToGrid w:val="0"/>
          <w:spacing w:val="-6"/>
          <w:kern w:val="0"/>
        </w:rPr>
        <w:t>平方公里，市域规划人口1600～1700万人；重点研究苏州市区，面积</w:t>
      </w:r>
      <w:r>
        <w:rPr>
          <w:rFonts w:hint="eastAsia" w:ascii="Times New Roman" w:hAnsi="Times New Roman" w:cs="Times New Roman"/>
          <w:b w:val="0"/>
          <w:bCs/>
          <w:snapToGrid w:val="0"/>
          <w:spacing w:val="-6"/>
          <w:kern w:val="0"/>
        </w:rPr>
        <w:t>4658</w:t>
      </w:r>
      <w:r>
        <w:rPr>
          <w:rFonts w:ascii="Times New Roman" w:hAnsi="Times New Roman" w:cs="Times New Roman"/>
          <w:b w:val="0"/>
          <w:bCs/>
          <w:snapToGrid w:val="0"/>
          <w:spacing w:val="-6"/>
          <w:kern w:val="0"/>
        </w:rPr>
        <w:t>平方公里，规划常住人口约1000万人。</w:t>
      </w:r>
    </w:p>
    <w:p w14:paraId="5CCBF65B">
      <w:pPr>
        <w:pStyle w:val="4"/>
        <w:spacing w:before="40" w:after="40"/>
        <w:ind w:firstLine="643"/>
        <w:rPr>
          <w:rFonts w:ascii="Times New Roman" w:hAnsi="Times New Roman" w:cs="Times New Roman"/>
          <w:b w:val="0"/>
          <w:bCs/>
          <w:snapToGrid w:val="0"/>
          <w:spacing w:val="-6"/>
          <w:kern w:val="0"/>
        </w:rPr>
      </w:pPr>
      <w:r>
        <w:rPr>
          <w:rFonts w:hint="eastAsia" w:ascii="Times New Roman" w:hAnsi="Times New Roman"/>
          <w:b w:val="0"/>
          <w:bCs/>
        </w:rPr>
        <w:t>2</w:t>
      </w:r>
      <w:r>
        <w:rPr>
          <w:rFonts w:ascii="Times New Roman" w:hAnsi="Times New Roman"/>
          <w:b w:val="0"/>
          <w:bCs/>
        </w:rPr>
        <w:t>.</w:t>
      </w:r>
      <w:r>
        <w:rPr>
          <w:rFonts w:hint="eastAsia" w:ascii="Times New Roman" w:hAnsi="Times New Roman"/>
          <w:b w:val="0"/>
          <w:bCs/>
        </w:rPr>
        <w:t>规划期限：</w:t>
      </w:r>
      <w:r>
        <w:rPr>
          <w:rFonts w:ascii="Times New Roman" w:hAnsi="Times New Roman" w:cs="Times New Roman"/>
          <w:b w:val="0"/>
          <w:bCs/>
          <w:snapToGrid w:val="0"/>
          <w:spacing w:val="-6"/>
          <w:kern w:val="0"/>
        </w:rPr>
        <w:t>规划周期20</w:t>
      </w:r>
      <w:r>
        <w:rPr>
          <w:rFonts w:hint="eastAsia" w:ascii="Times New Roman" w:hAnsi="Times New Roman" w:cs="Times New Roman"/>
          <w:b w:val="0"/>
          <w:bCs/>
          <w:snapToGrid w:val="0"/>
          <w:spacing w:val="-6"/>
          <w:kern w:val="0"/>
        </w:rPr>
        <w:t>26</w:t>
      </w:r>
      <w:r>
        <w:rPr>
          <w:rFonts w:ascii="Times New Roman" w:hAnsi="Times New Roman" w:cs="Times New Roman"/>
          <w:b w:val="0"/>
          <w:bCs/>
          <w:snapToGrid w:val="0"/>
          <w:spacing w:val="-6"/>
          <w:kern w:val="0"/>
        </w:rPr>
        <w:t>—203</w:t>
      </w:r>
      <w:r>
        <w:rPr>
          <w:rFonts w:hint="eastAsia" w:ascii="Times New Roman" w:hAnsi="Times New Roman" w:cs="Times New Roman"/>
          <w:b w:val="0"/>
          <w:bCs/>
          <w:snapToGrid w:val="0"/>
          <w:spacing w:val="-6"/>
          <w:kern w:val="0"/>
        </w:rPr>
        <w:t>0</w:t>
      </w:r>
      <w:r>
        <w:rPr>
          <w:rFonts w:ascii="Times New Roman" w:hAnsi="Times New Roman" w:cs="Times New Roman"/>
          <w:b w:val="0"/>
          <w:bCs/>
          <w:snapToGrid w:val="0"/>
          <w:spacing w:val="-6"/>
          <w:kern w:val="0"/>
        </w:rPr>
        <w:t>年，实现全域防灾体系闭环建设。</w:t>
      </w:r>
    </w:p>
    <w:p w14:paraId="3284E8B6">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（三）规划依据</w:t>
      </w:r>
    </w:p>
    <w:p w14:paraId="4E35ECE4">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1</w:t>
      </w:r>
      <w:r>
        <w:rPr>
          <w:rFonts w:ascii="Times New Roman" w:hAnsi="Times New Roman" w:eastAsia="仿宋_GB2312"/>
          <w:b w:val="0"/>
          <w:bCs/>
          <w:sz w:val="32"/>
          <w:szCs w:val="32"/>
        </w:rPr>
        <w:t>.法律法规：</w:t>
      </w:r>
      <w:r>
        <w:rPr>
          <w:rFonts w:ascii="Times New Roman" w:hAnsi="Times New Roman" w:eastAsia="仿宋_GB2312" w:cs="Times New Roman"/>
          <w:b w:val="0"/>
          <w:bCs/>
          <w:snapToGrid w:val="0"/>
          <w:spacing w:val="-6"/>
          <w:kern w:val="0"/>
          <w:sz w:val="32"/>
          <w:szCs w:val="32"/>
        </w:rPr>
        <w:t>《中华人民共和国防震减灾法》《江苏省防震减灾条例》《苏州市房屋使用安全管理条例》；</w:t>
      </w:r>
    </w:p>
    <w:p w14:paraId="7FC4F019">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2</w:t>
      </w:r>
      <w:r>
        <w:rPr>
          <w:rFonts w:ascii="Times New Roman" w:hAnsi="Times New Roman" w:eastAsia="仿宋_GB2312"/>
          <w:b w:val="0"/>
          <w:bCs/>
          <w:sz w:val="32"/>
          <w:szCs w:val="32"/>
        </w:rPr>
        <w:t>.上位规划：</w:t>
      </w:r>
      <w:r>
        <w:rPr>
          <w:rFonts w:ascii="Times New Roman" w:hAnsi="Times New Roman" w:eastAsia="仿宋_GB2312" w:cs="Times New Roman"/>
          <w:b w:val="0"/>
          <w:bCs/>
          <w:snapToGrid w:val="0"/>
          <w:spacing w:val="-6"/>
          <w:kern w:val="0"/>
          <w:sz w:val="32"/>
          <w:szCs w:val="32"/>
        </w:rPr>
        <w:t>《国家新型城市基础设施建设“十五五”规划》《江苏省“十五五”韧性城市建设实施方案》《苏州市城市总体规划（2017-2035年）》；</w:t>
      </w:r>
    </w:p>
    <w:p w14:paraId="64104373">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3</w:t>
      </w:r>
      <w:r>
        <w:rPr>
          <w:rFonts w:ascii="Times New Roman" w:hAnsi="Times New Roman" w:eastAsia="仿宋_GB2312"/>
          <w:b w:val="0"/>
          <w:bCs/>
          <w:sz w:val="32"/>
          <w:szCs w:val="32"/>
        </w:rPr>
        <w:t>.技术标准：</w:t>
      </w:r>
      <w:r>
        <w:rPr>
          <w:rFonts w:ascii="Times New Roman" w:hAnsi="Times New Roman" w:eastAsia="仿宋_GB2312" w:cs="Times New Roman"/>
          <w:b w:val="0"/>
          <w:bCs/>
          <w:snapToGrid w:val="0"/>
          <w:spacing w:val="-6"/>
          <w:kern w:val="0"/>
          <w:sz w:val="32"/>
          <w:szCs w:val="32"/>
        </w:rPr>
        <w:t>《城市抗震防灾规划标准》（GB50413-2018）《应急避难场所设计规范》（GB51143-2015）《生命线工程地震破坏等级划分》（GB/T 19428-2003）；</w:t>
      </w:r>
    </w:p>
    <w:p w14:paraId="02ECE8AB">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4</w:t>
      </w:r>
      <w:r>
        <w:rPr>
          <w:rFonts w:ascii="Times New Roman" w:hAnsi="Times New Roman" w:eastAsia="仿宋_GB2312"/>
          <w:b w:val="0"/>
          <w:bCs/>
          <w:sz w:val="32"/>
          <w:szCs w:val="32"/>
        </w:rPr>
        <w:t>.地方文件：</w:t>
      </w:r>
      <w:r>
        <w:rPr>
          <w:rFonts w:ascii="Times New Roman" w:hAnsi="Times New Roman" w:eastAsia="仿宋_GB2312" w:cs="Times New Roman"/>
          <w:b w:val="0"/>
          <w:bCs/>
          <w:snapToGrid w:val="0"/>
          <w:spacing w:val="-6"/>
          <w:kern w:val="0"/>
          <w:sz w:val="32"/>
          <w:szCs w:val="32"/>
        </w:rPr>
        <w:t>《苏州市“十五五”新型城市基础设施建设规划》《苏州市韧性城市建设三年行动计划（2026-2028年）》</w:t>
      </w:r>
      <w:r>
        <w:rPr>
          <w:rFonts w:hint="eastAsia" w:ascii="Times New Roman" w:hAnsi="Times New Roman" w:eastAsia="仿宋_GB2312" w:cs="Times New Roman"/>
          <w:b w:val="0"/>
          <w:bCs/>
          <w:snapToGrid w:val="0"/>
          <w:spacing w:val="-6"/>
          <w:kern w:val="0"/>
          <w:sz w:val="32"/>
          <w:szCs w:val="32"/>
        </w:rPr>
        <w:t>等。</w:t>
      </w:r>
    </w:p>
    <w:p w14:paraId="5D67FE0E">
      <w:pPr>
        <w:pStyle w:val="3"/>
        <w:keepNext w:val="0"/>
        <w:keepLines w:val="0"/>
        <w:spacing w:before="0" w:after="0" w:line="560" w:lineRule="exact"/>
        <w:ind w:left="0" w:leftChars="0" w:firstLine="640" w:firstLineChars="200"/>
        <w:rPr>
          <w:rFonts w:ascii="Times New Roman" w:hAnsi="Times New Roman" w:cs="Times New Roman"/>
          <w:b w:val="0"/>
          <w:bCs/>
        </w:rPr>
      </w:pPr>
      <w:r>
        <w:rPr>
          <w:rFonts w:hint="eastAsia" w:ascii="Times New Roman" w:hAnsi="Times New Roman" w:cs="Times New Roman"/>
          <w:b w:val="0"/>
          <w:bCs/>
        </w:rPr>
        <w:t>（四）规划原则</w:t>
      </w:r>
    </w:p>
    <w:p w14:paraId="632A1ACE">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lang w:val="en-US" w:eastAsia="zh-CN"/>
        </w:rPr>
        <w:t>1.</w:t>
      </w:r>
      <w:r>
        <w:rPr>
          <w:rFonts w:hint="eastAsia" w:ascii="Times New Roman" w:hAnsi="Times New Roman" w:eastAsia="仿宋_GB2312" w:cs="Times New Roman"/>
          <w:b w:val="0"/>
          <w:bCs/>
          <w:snapToGrid w:val="0"/>
          <w:spacing w:val="-6"/>
          <w:kern w:val="0"/>
          <w:sz w:val="32"/>
          <w:szCs w:val="32"/>
        </w:rPr>
        <w:t>以人为本、协调发展、科学防灾、综合减灾的原则；</w:t>
      </w:r>
    </w:p>
    <w:p w14:paraId="483ECC8F">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lang w:val="en-US" w:eastAsia="zh-CN"/>
        </w:rPr>
        <w:t>2.</w:t>
      </w:r>
      <w:r>
        <w:rPr>
          <w:rFonts w:hint="eastAsia" w:ascii="Times New Roman" w:hAnsi="Times New Roman" w:eastAsia="仿宋_GB2312" w:cs="Times New Roman"/>
          <w:b w:val="0"/>
          <w:bCs/>
          <w:snapToGrid w:val="0"/>
          <w:spacing w:val="-6"/>
          <w:kern w:val="0"/>
          <w:sz w:val="32"/>
          <w:szCs w:val="32"/>
        </w:rPr>
        <w:t>贯彻“预防为主，防、抗、避、救相结合”的原则；</w:t>
      </w:r>
    </w:p>
    <w:p w14:paraId="3A7CD278">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lang w:val="en-US" w:eastAsia="zh-CN"/>
        </w:rPr>
        <w:t>3.</w:t>
      </w:r>
      <w:r>
        <w:rPr>
          <w:rFonts w:hint="eastAsia" w:ascii="Times New Roman" w:hAnsi="Times New Roman" w:eastAsia="仿宋_GB2312" w:cs="Times New Roman"/>
          <w:b w:val="0"/>
          <w:bCs/>
          <w:snapToGrid w:val="0"/>
          <w:spacing w:val="-6"/>
          <w:kern w:val="0"/>
          <w:sz w:val="32"/>
          <w:szCs w:val="32"/>
        </w:rPr>
        <w:t>统筹安排、突出重点、合理布局、全面预防的原则；</w:t>
      </w:r>
    </w:p>
    <w:p w14:paraId="0E905AFF">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lang w:val="en-US" w:eastAsia="zh-CN"/>
        </w:rPr>
        <w:t>4.</w:t>
      </w:r>
      <w:r>
        <w:rPr>
          <w:rFonts w:hint="eastAsia" w:ascii="Times New Roman" w:hAnsi="Times New Roman" w:eastAsia="仿宋_GB2312" w:cs="Times New Roman"/>
          <w:b w:val="0"/>
          <w:bCs/>
          <w:snapToGrid w:val="0"/>
          <w:spacing w:val="-6"/>
          <w:kern w:val="0"/>
          <w:sz w:val="32"/>
          <w:szCs w:val="32"/>
        </w:rPr>
        <w:t>平灾结合、因地制宜、资源整合、远近结合的原则；</w:t>
      </w:r>
    </w:p>
    <w:p w14:paraId="228ADA8E">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lang w:val="en-US" w:eastAsia="zh-CN"/>
        </w:rPr>
        <w:t>5.</w:t>
      </w:r>
      <w:r>
        <w:rPr>
          <w:rFonts w:hint="eastAsia" w:ascii="Times New Roman" w:hAnsi="Times New Roman" w:eastAsia="仿宋_GB2312" w:cs="Times New Roman"/>
          <w:b w:val="0"/>
          <w:bCs/>
          <w:snapToGrid w:val="0"/>
          <w:spacing w:val="-6"/>
          <w:kern w:val="0"/>
          <w:sz w:val="32"/>
          <w:szCs w:val="32"/>
        </w:rPr>
        <w:t>坚持与城市总体规划和其他相关规划相衔接的原则。</w:t>
      </w:r>
    </w:p>
    <w:p w14:paraId="03AF9F4C">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二、</w:t>
      </w:r>
      <w:r>
        <w:rPr>
          <w:rFonts w:ascii="Times New Roman" w:hAnsi="Times New Roman"/>
          <w:b w:val="0"/>
          <w:bCs/>
        </w:rPr>
        <w:t>现状评估与</w:t>
      </w:r>
      <w:r>
        <w:rPr>
          <w:rFonts w:hint="eastAsia" w:ascii="Times New Roman" w:hAnsi="Times New Roman"/>
          <w:b w:val="0"/>
          <w:bCs/>
        </w:rPr>
        <w:t>发展</w:t>
      </w:r>
      <w:r>
        <w:rPr>
          <w:rFonts w:ascii="Times New Roman" w:hAnsi="Times New Roman"/>
          <w:b w:val="0"/>
          <w:bCs/>
        </w:rPr>
        <w:t>挑战</w:t>
      </w:r>
    </w:p>
    <w:p w14:paraId="584D4E7F">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（一）现状评估</w:t>
      </w:r>
    </w:p>
    <w:p w14:paraId="02675233">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近年来，苏州市高度重视城市抗震防灾工作，持续推进抗震防灾体系建设，城市整体抗震防灾基础能力得到稳步提升，初步形成了基本的城市地震安全保障体系。但总体来看，现有抗震防灾建设水平仍滞后于城市现代化发展速度，难以匹配苏州市高水平经济社会发展体量与城市安全发展要求。</w:t>
      </w:r>
    </w:p>
    <w:p w14:paraId="6BD5AE38">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从地质条件来看，苏州为典型江南水乡，河湖密布，沿岸广泛存在砂土液化、软土震陷等抗震不利地段，场地稳定性较弱，天然地质条件增加了工程震害风险。</w:t>
      </w:r>
    </w:p>
    <w:p w14:paraId="02F0F693">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从建筑基础条件来看，市域老旧建筑存量大，上世纪80年代前建设房屋、城中村建筑、城乡结合部私建房屋普遍未落实规范抗震设防措施，抗震性能薄弱，存在“小震大灾”隐患。</w:t>
      </w:r>
    </w:p>
    <w:p w14:paraId="2CF3B4A1">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从管理体系来看，当前建筑抗震管控存在结构性短板，监管重心集中在施工阶段，忽视规划设计阶段与长期运维阶段的抗震管控，部分在役建筑存在私自变更用途、改动主体结构等问题，导致建筑原有抗震性能持续衰减。</w:t>
      </w:r>
    </w:p>
    <w:p w14:paraId="5352A127">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从应急体系来看，全市避震疏散体系、次生灾害防控体系、应急演练与救援保障体系建设不完善，整体防灾减灾系统性、完整性不足。</w:t>
      </w:r>
    </w:p>
    <w:p w14:paraId="6ECBCB2B">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（二）发展挑战</w:t>
      </w:r>
    </w:p>
    <w:p w14:paraId="668D85B1">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一是城市集聚发展加剧地震灾害放大风险。伴随城镇化快速推进与经济规模持续扩容，苏州人口、高层建筑、复杂基础设施高度集聚，城市运行高度依赖交通、供水、供电、通讯等生命线系统。城市系统复杂度大幅提升，一旦遭遇地震灾害，极易引发连锁反应和灾害放大效应，灾害损失与影响范围显著扩大，城市整体灾损风险持续攀升。</w:t>
      </w:r>
    </w:p>
    <w:p w14:paraId="5E4EC991">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二是重点建筑抗震保障能力不足。学校、医院、应急指挥中心、水厂、变电站等城市关键公共建筑与应急保障建筑，普遍未统筹考虑震后持续救灾运行功能，缺乏系统的抗震可靠性专项评估，难以在震后持续发挥应急保障作用，关键节点抗震安全保障存在漏洞。</w:t>
      </w:r>
    </w:p>
    <w:p w14:paraId="45EC0E7F">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三是城市生命线工程抗震韧性偏弱。全市生命线基础设施建设标准偏低、老旧隐患存量多、设防等级单一、空间布局不合理，普遍缺乏常态化健康监测手段，设施整体抗灾储备不足，无法满足震后应急抢险、持续运行的保障要求，难以支撑震后城市正常运转。</w:t>
      </w:r>
    </w:p>
    <w:p w14:paraId="19E8B77A">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四是避震疏散与应急救灾体系不完善。现有避震疏散场所空间分布不均、配套设施缺失、层级体系混乱，未形成系统化、网络化的疏散支援体系，且防灾宣传引导不足。抗震防灾应急预案常态化演练机制落实不到位，应急救护、救援保障设施落地不足，群众自救互救、政企协同救灾能力薄弱，整体应急处置水平难以应对突发地震灾害。</w:t>
      </w:r>
    </w:p>
    <w:p w14:paraId="049716FF">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三、</w:t>
      </w:r>
      <w:r>
        <w:rPr>
          <w:rFonts w:ascii="Times New Roman" w:hAnsi="Times New Roman"/>
          <w:b w:val="0"/>
          <w:bCs/>
        </w:rPr>
        <w:t>发展思路与</w:t>
      </w:r>
      <w:r>
        <w:rPr>
          <w:rFonts w:hint="eastAsia" w:ascii="Times New Roman" w:hAnsi="Times New Roman"/>
          <w:b w:val="0"/>
          <w:bCs/>
        </w:rPr>
        <w:t>发展</w:t>
      </w:r>
      <w:r>
        <w:rPr>
          <w:rFonts w:ascii="Times New Roman" w:hAnsi="Times New Roman"/>
          <w:b w:val="0"/>
          <w:bCs/>
        </w:rPr>
        <w:t>目标</w:t>
      </w:r>
    </w:p>
    <w:p w14:paraId="7E04A2AF">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（一）发展</w:t>
      </w:r>
      <w:r>
        <w:rPr>
          <w:rFonts w:ascii="Times New Roman" w:hAnsi="Times New Roman" w:cs="Times New Roman"/>
          <w:b w:val="0"/>
          <w:bCs/>
        </w:rPr>
        <w:t>思路</w:t>
      </w:r>
    </w:p>
    <w:p w14:paraId="4128E667">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ascii="Times New Roman" w:hAnsi="Times New Roman" w:eastAsia="仿宋_GB2312" w:cs="Times New Roman"/>
          <w:b w:val="0"/>
          <w:bCs/>
          <w:snapToGrid w:val="0"/>
          <w:spacing w:val="-6"/>
          <w:kern w:val="0"/>
          <w:sz w:val="32"/>
          <w:szCs w:val="32"/>
        </w:rPr>
        <w:t>依托市域河湖、高速路网划分</w:t>
      </w:r>
      <w:r>
        <w:rPr>
          <w:rFonts w:hint="eastAsia" w:ascii="Times New Roman" w:hAnsi="Times New Roman" w:eastAsia="仿宋_GB2312" w:cs="Times New Roman"/>
          <w:b w:val="0"/>
          <w:bCs/>
          <w:snapToGrid w:val="0"/>
          <w:spacing w:val="-6"/>
          <w:kern w:val="0"/>
          <w:sz w:val="32"/>
          <w:szCs w:val="32"/>
        </w:rPr>
        <w:t>6</w:t>
      </w:r>
      <w:r>
        <w:rPr>
          <w:rFonts w:ascii="Times New Roman" w:hAnsi="Times New Roman" w:eastAsia="仿宋_GB2312" w:cs="Times New Roman"/>
          <w:b w:val="0"/>
          <w:bCs/>
          <w:snapToGrid w:val="0"/>
          <w:spacing w:val="-6"/>
          <w:kern w:val="0"/>
          <w:sz w:val="32"/>
          <w:szCs w:val="32"/>
        </w:rPr>
        <w:t>个一级防灾分区、</w:t>
      </w:r>
      <w:r>
        <w:rPr>
          <w:rFonts w:hint="eastAsia" w:ascii="Times New Roman" w:hAnsi="Times New Roman" w:eastAsia="仿宋_GB2312" w:cs="Times New Roman"/>
          <w:b w:val="0"/>
          <w:bCs/>
          <w:snapToGrid w:val="0"/>
          <w:spacing w:val="-6"/>
          <w:kern w:val="0"/>
          <w:sz w:val="32"/>
          <w:szCs w:val="32"/>
        </w:rPr>
        <w:t>71</w:t>
      </w:r>
      <w:r>
        <w:rPr>
          <w:rFonts w:ascii="Times New Roman" w:hAnsi="Times New Roman" w:eastAsia="仿宋_GB2312" w:cs="Times New Roman"/>
          <w:b w:val="0"/>
          <w:bCs/>
          <w:snapToGrid w:val="0"/>
          <w:spacing w:val="-6"/>
          <w:kern w:val="0"/>
          <w:sz w:val="32"/>
          <w:szCs w:val="32"/>
        </w:rPr>
        <w:t>个二级防灾生活圈，搭建 “六片、多轴、网状”全域防灾空间架构，以高速、运河、主干路作为防灾隔离廊道阻隔灾害连片蔓延。构建三级防灾体系：事前严控新建项目抗震审批，从源头落实设防；事中分批推进老旧住宅、文保建筑、生命线工程加固改造，分级整治各类危险源；事后完善三级避难场所与救灾配套。</w:t>
      </w:r>
    </w:p>
    <w:p w14:paraId="5FBAB849">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（二）</w:t>
      </w:r>
      <w:r>
        <w:rPr>
          <w:rFonts w:ascii="Times New Roman" w:hAnsi="Times New Roman" w:cs="Times New Roman"/>
          <w:b w:val="0"/>
          <w:bCs/>
        </w:rPr>
        <w:t>发展目标</w:t>
      </w:r>
    </w:p>
    <w:p w14:paraId="37B8947E">
      <w:pPr>
        <w:spacing w:line="560" w:lineRule="exact"/>
        <w:ind w:firstLine="616" w:firstLineChars="200"/>
        <w:rPr>
          <w:rFonts w:ascii="Times New Roman" w:hAnsi="Times New Roman" w:eastAsia="仿宋_GB2312" w:cs="Times New Roman"/>
          <w:b w:val="0"/>
          <w:bCs/>
          <w:snapToGrid w:val="0"/>
          <w:spacing w:val="-6"/>
          <w:kern w:val="0"/>
          <w:sz w:val="32"/>
          <w:szCs w:val="32"/>
        </w:rPr>
      </w:pPr>
      <w:bookmarkStart w:id="7" w:name="OLE_LINK7"/>
      <w:r>
        <w:rPr>
          <w:rFonts w:hint="eastAsia" w:ascii="Times New Roman" w:hAnsi="Times New Roman" w:eastAsia="仿宋_GB2312" w:cs="Times New Roman"/>
          <w:b w:val="0"/>
          <w:bCs/>
          <w:snapToGrid w:val="0"/>
          <w:spacing w:val="-6"/>
          <w:kern w:val="0"/>
          <w:sz w:val="32"/>
          <w:szCs w:val="32"/>
        </w:rPr>
        <w:t>摸清苏州市地震背景与抗震防灾能力底数，合理确定城市用地、基础设施、城区建筑、次生灾害源等承灾体的抗震防灾对策与措施，保障人民生命财产安全。完善、落实城市防灾空间布局，构建城市应急保障基础设施和避震疏散体系，保障震后救灾工作的顺利开展。提出规划实施安排和保障措施，切实保障抗震防灾工作的有序推进。</w:t>
      </w:r>
      <w:bookmarkEnd w:id="7"/>
    </w:p>
    <w:p w14:paraId="43A44660">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分级设防目标：①当遭受小震影响时，城市功能正常，建设工程一般不发生破坏，历史建筑保持完好，市民的生产和生活基本不受影响。②当遭受中震影响时，城市基础设施基本正常，一般建设工程可能发生破坏但基本不影响城市整体功能，重要工矿企业能很快恢复生产或运营。③当遭受大震影响时，城市功能基本不瘫痪，重要建筑和重要的城市基础设施不遭受严重破坏，不发生严重的次生灾害，应急保障基础设施可有效维持运转，人员可有效疏散，城市防灾救灾基本功能正常或可快速恢复。④当遭受超大震影响时，应急保障基础设施不发生危及救灾和避难人员安全的严重破坏，区域重大协调救援、救灾物资运输活动和对外远程疏散可实施。</w:t>
      </w:r>
    </w:p>
    <w:p w14:paraId="31231DF3">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量化建设目标：2035年前落地18处市级中心避难场所、100处固定避难点位；完成全部中小学、乡镇医疗机构抗震改造，闭环整改存量高危危险源；完成全部重点文物抗震保护性修缮，系统性改造老旧水、气、管网；建成市、区、镇三级物资储备网络，实现防震演练、防灾宣教常态化全覆盖，全面建成适配苏州经济与古城特色的现代化抗震防灾体系。</w:t>
      </w:r>
    </w:p>
    <w:p w14:paraId="3184B982">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四、</w:t>
      </w:r>
      <w:r>
        <w:rPr>
          <w:rFonts w:ascii="Times New Roman" w:hAnsi="Times New Roman"/>
          <w:b w:val="0"/>
          <w:bCs/>
        </w:rPr>
        <w:t>专项规划内容</w:t>
      </w:r>
    </w:p>
    <w:p w14:paraId="11B8F342">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（一）防震：用地管</w:t>
      </w:r>
      <w:bookmarkStart w:id="8" w:name="_GoBack"/>
      <w:bookmarkEnd w:id="8"/>
      <w:r>
        <w:rPr>
          <w:rFonts w:hint="eastAsia" w:ascii="Times New Roman" w:hAnsi="Times New Roman" w:cs="Times New Roman"/>
          <w:b w:val="0"/>
          <w:bCs/>
        </w:rPr>
        <w:t>控、风险防控与次生灾害治理</w:t>
      </w:r>
    </w:p>
    <w:p w14:paraId="4576621C">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防震主要从城市用地安全管控、场地风险识别、次生灾害防控三个维度，落实灾前预防、源头减灾的总体要求。基于场地风险差异，规划将市域建设用地划分为适宜、较适宜、有条件适宜、不适宜四类，实行分级、差异化用地管控，严格禁止在地震危险地段布置各类设防建筑，对不利地段的开发建设明确专项工程治理与抗震加强要求。</w:t>
      </w:r>
    </w:p>
    <w:p w14:paraId="0FD30F0E">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（二）抗震：建筑与基础设施抗震能力提升</w:t>
      </w:r>
    </w:p>
    <w:p w14:paraId="030E4731">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抗震以提升城市建（构）筑物与生命线工程本体抗震能力为核心，聚焦存量短板整治与新建工程规范管控。针对苏州城市建设现状，规划重点整治老旧建筑抗震隐患，明确上世纪80年代以前无抗震设防建筑、城中村房屋、老旧民房、城乡结合部自建房屋抗震性能薄弱、易引发“小震大灾”的突出问题，分类推进老旧建筑排查、鉴定与加固改造。针对学校、医院、大型公共建筑、应急指挥中心、水厂、变电站、消防场站等关键公共建筑和应急保障建筑，明确更高标准的抗震设防与震后功能延续要求，强制开展抗震可靠性评价。同时，结合苏州历史文化名城特质，专门针对数量庞大、年代久远、维护条件有限的各级文保建筑与风貌保护区建筑制定保护性抗震加固策略，在保护历史风貌的前提下提升结构安全与抗震能力。</w:t>
      </w:r>
    </w:p>
    <w:p w14:paraId="500CB3EB">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（三）避震：风险研判与避震疏散体系系统构建</w:t>
      </w:r>
    </w:p>
    <w:p w14:paraId="0125E7D6">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围绕地震风险评估、避难空间布局、疏散系统完善三大内容，补齐苏州市城市避震防灾短板。规划通过全域地震灾害风险分析，精准识别人口密集、建筑老旧、场地不利、设施薄弱的高风险片区，为避难设施布局、改造优先级提供科学依据。针对现状避震体系存在的突出问题，重点解决旧城区疏散空间不足、避难场地分布不均、公共绿地防灾功能缺失、应急配套不足、疏散通道狭窄不畅等问题。规划统筹全市公园、绿地、广场、操场等公共开放空间，系统性增补应急供水、供电、临时安置等防灾基础设施，解决“有场地、无设施”的现状短板。统一规范避难场所建设标准、分级分类标准与疏散通道建设要求，构建层级清晰、布局均衡、互联互通、相互支援的全域避震疏散网络。</w:t>
      </w:r>
    </w:p>
    <w:p w14:paraId="5888C87C">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（四）救灾：应急保障、物资支撑与灾后恢复重建</w:t>
      </w:r>
    </w:p>
    <w:p w14:paraId="650ACD07">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聚焦震后应急处置全流程，构建覆盖应急设施、物资储备、救援保障、灾后重建的完整救灾体系。规划立足苏州市应急救灾短板，统筹布局应急保障基础设施，优化消防救援、医疗救护、物资储备、应急指挥等关键设施空间布局，补齐救灾设施不足、布局不合理、保障层级不清等问题。针对现有应急预案落地不足、常态化演练缺失、群众自救互救能力薄弱等问题，明确防灾宣传、应急培训、常态化演练制度，建立受灾群众、社会组织、专业队伍协同联动的救灾工作机制。完善地震次生火灾、水灾等衍生灾害的应急处置流程，强化重点区域、重点单位的专项应急保障。</w:t>
      </w:r>
    </w:p>
    <w:p w14:paraId="3C9AD190">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（五）实施保障：制度建设与长效落地管理机制</w:t>
      </w:r>
    </w:p>
    <w:p w14:paraId="0201A0F0">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规划明确各行业主管部门职责分工，完善统筹协调、监督考核、项目监管工作机制，保障各项抗震防灾任务有序推进。建立常态化抗震隐患排查、动态监测、风险预警机制，持续更新抗震防灾基础数据与风险台账。结合国家新标准、城市总体规划修编、城市建设发展变化，实行规划动态评估与修订制度，持续优化抗震防灾策略，确保规划成果适配城市发展节奏，全面巩固和提升苏州市长期综合抗震防灾能力。</w:t>
      </w:r>
    </w:p>
    <w:p w14:paraId="156BCD6F">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五、示范场景</w:t>
      </w:r>
    </w:p>
    <w:p w14:paraId="3A4A0813">
      <w:pPr>
        <w:spacing w:line="560" w:lineRule="exact"/>
        <w:ind w:firstLine="616"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cs="Times New Roman"/>
          <w:b w:val="0"/>
          <w:bCs/>
          <w:snapToGrid w:val="0"/>
          <w:spacing w:val="-6"/>
          <w:kern w:val="0"/>
          <w:sz w:val="32"/>
          <w:szCs w:val="32"/>
        </w:rPr>
        <w:t>苏州工业园区大震应急处置：园区高层楼宇、精细化工企业密集，遭遇设防标准大震，个别化工储罐出现微量泄漏。事前园区奥体中心、白鹭园规划为区域性固定避难场所，化工区块与居住区预留隔离绿地，园区主干道全部达标疏散宽度。震后企业自动关停原料输送阀门，员工就近疏散至厂区绿地；外部救援依托京沪高速、京杭运河水陆联运，直升机落地奥体停机转运重症伤员，园区自备应急电源保障避难区水电，水厂切换多水源模式。灾后分期修复管网、线路，受损化工装置鉴定合格后复产。</w:t>
      </w:r>
    </w:p>
    <w:p w14:paraId="061D2693">
      <w:pPr>
        <w:pStyle w:val="2"/>
        <w:keepNext w:val="0"/>
        <w:keepLines w:val="0"/>
        <w:spacing w:before="0" w:after="0" w:line="560" w:lineRule="exact"/>
        <w:ind w:firstLine="640" w:firstLineChars="200"/>
        <w:rPr>
          <w:rFonts w:ascii="Times New Roman" w:hAnsi="Times New Roman"/>
          <w:b w:val="0"/>
          <w:bCs/>
        </w:rPr>
      </w:pPr>
      <w:r>
        <w:rPr>
          <w:rFonts w:hint="eastAsia" w:ascii="Times New Roman" w:hAnsi="Times New Roman"/>
          <w:b w:val="0"/>
          <w:bCs/>
        </w:rPr>
        <w:t>六、</w:t>
      </w:r>
      <w:r>
        <w:rPr>
          <w:rFonts w:ascii="Times New Roman" w:hAnsi="Times New Roman"/>
          <w:b w:val="0"/>
          <w:bCs/>
        </w:rPr>
        <w:t>保障措施</w:t>
      </w:r>
    </w:p>
    <w:p w14:paraId="0E7CF892">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（一）</w:t>
      </w:r>
      <w:r>
        <w:rPr>
          <w:rFonts w:ascii="Times New Roman" w:hAnsi="Times New Roman" w:cs="Times New Roman"/>
          <w:b w:val="0"/>
          <w:bCs/>
        </w:rPr>
        <w:t>机制保障</w:t>
      </w:r>
    </w:p>
    <w:p w14:paraId="106D32FE">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1</w:t>
      </w:r>
      <w:r>
        <w:rPr>
          <w:rFonts w:ascii="Times New Roman" w:hAnsi="Times New Roman" w:eastAsia="仿宋_GB2312"/>
          <w:b w:val="0"/>
          <w:bCs/>
          <w:sz w:val="32"/>
          <w:szCs w:val="32"/>
        </w:rPr>
        <w:t>.建立多部门协同机制：</w:t>
      </w:r>
      <w:r>
        <w:rPr>
          <w:rFonts w:ascii="Times New Roman" w:hAnsi="Times New Roman" w:eastAsia="仿宋_GB2312" w:cs="Times New Roman"/>
          <w:b w:val="0"/>
          <w:bCs/>
          <w:snapToGrid w:val="0"/>
          <w:spacing w:val="-6"/>
          <w:kern w:val="0"/>
          <w:sz w:val="32"/>
          <w:szCs w:val="32"/>
        </w:rPr>
        <w:t>成立由市住建局、应急管理局、自然资源局、交通运输局、水务局等部门组成的专项领导小组，统筹协调抗震防灾设施布局规划的编制、实施与监督。</w:t>
      </w:r>
    </w:p>
    <w:p w14:paraId="2C3B41CD">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2</w:t>
      </w:r>
      <w:r>
        <w:rPr>
          <w:rFonts w:ascii="Times New Roman" w:hAnsi="Times New Roman" w:eastAsia="仿宋_GB2312"/>
          <w:b w:val="0"/>
          <w:bCs/>
          <w:sz w:val="32"/>
          <w:szCs w:val="32"/>
        </w:rPr>
        <w:t>.纳入新城建项目审批流程：</w:t>
      </w:r>
      <w:r>
        <w:rPr>
          <w:rFonts w:ascii="Times New Roman" w:hAnsi="Times New Roman" w:eastAsia="仿宋_GB2312" w:cs="Times New Roman"/>
          <w:b w:val="0"/>
          <w:bCs/>
          <w:snapToGrid w:val="0"/>
          <w:spacing w:val="-6"/>
          <w:kern w:val="0"/>
          <w:sz w:val="32"/>
          <w:szCs w:val="32"/>
        </w:rPr>
        <w:t>将抗震设防要求纳入新城建项目审批全流程，在规划设计、施工图审查、竣工验收等环节严格把关。</w:t>
      </w:r>
    </w:p>
    <w:p w14:paraId="61C9698B">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（二）</w:t>
      </w:r>
      <w:r>
        <w:rPr>
          <w:rFonts w:ascii="Times New Roman" w:hAnsi="Times New Roman" w:cs="Times New Roman"/>
          <w:b w:val="0"/>
          <w:bCs/>
        </w:rPr>
        <w:t>资金保障</w:t>
      </w:r>
    </w:p>
    <w:p w14:paraId="6F15A5D4">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1</w:t>
      </w:r>
      <w:r>
        <w:rPr>
          <w:rFonts w:ascii="Times New Roman" w:hAnsi="Times New Roman" w:eastAsia="仿宋_GB2312"/>
          <w:b w:val="0"/>
          <w:bCs/>
          <w:sz w:val="32"/>
          <w:szCs w:val="32"/>
        </w:rPr>
        <w:t>.设立专项基金：</w:t>
      </w:r>
      <w:r>
        <w:rPr>
          <w:rFonts w:ascii="Times New Roman" w:hAnsi="Times New Roman" w:eastAsia="仿宋_GB2312" w:cs="Times New Roman"/>
          <w:b w:val="0"/>
          <w:bCs/>
          <w:snapToGrid w:val="0"/>
          <w:spacing w:val="-6"/>
          <w:kern w:val="0"/>
          <w:sz w:val="32"/>
          <w:szCs w:val="32"/>
        </w:rPr>
        <w:t>设立“苏州市‘十五五’抗震防灾专项基金”，统筹新城建专项资金、财政预算与社会资本，专项用于抗震防灾设施建设、老旧小区抗震加固、数字化平台建设等</w:t>
      </w:r>
      <w:r>
        <w:rPr>
          <w:rFonts w:hint="eastAsia" w:ascii="Times New Roman" w:hAnsi="Times New Roman" w:eastAsia="仿宋_GB2312" w:cs="Times New Roman"/>
          <w:b w:val="0"/>
          <w:bCs/>
          <w:snapToGrid w:val="0"/>
          <w:spacing w:val="-6"/>
          <w:kern w:val="0"/>
          <w:sz w:val="32"/>
          <w:szCs w:val="32"/>
        </w:rPr>
        <w:t>。</w:t>
      </w:r>
    </w:p>
    <w:p w14:paraId="3164E61A">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2</w:t>
      </w:r>
      <w:r>
        <w:rPr>
          <w:rFonts w:ascii="Times New Roman" w:hAnsi="Times New Roman" w:eastAsia="仿宋_GB2312"/>
          <w:b w:val="0"/>
          <w:bCs/>
          <w:sz w:val="32"/>
          <w:szCs w:val="32"/>
        </w:rPr>
        <w:t>.加大财政投入：</w:t>
      </w:r>
      <w:r>
        <w:rPr>
          <w:rFonts w:ascii="Times New Roman" w:hAnsi="Times New Roman" w:eastAsia="仿宋_GB2312" w:cs="Times New Roman"/>
          <w:b w:val="0"/>
          <w:bCs/>
          <w:snapToGrid w:val="0"/>
          <w:spacing w:val="-6"/>
          <w:kern w:val="0"/>
          <w:sz w:val="32"/>
          <w:szCs w:val="32"/>
        </w:rPr>
        <w:t>市、区县两级财政每年安排抗震防灾设施建设资金，对老旧设施改造给予财政补贴。</w:t>
      </w:r>
    </w:p>
    <w:p w14:paraId="02B64DA6">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（三）</w:t>
      </w:r>
      <w:r>
        <w:rPr>
          <w:rFonts w:ascii="Times New Roman" w:hAnsi="Times New Roman" w:cs="Times New Roman"/>
          <w:b w:val="0"/>
          <w:bCs/>
        </w:rPr>
        <w:t>技术保障</w:t>
      </w:r>
    </w:p>
    <w:p w14:paraId="2F4FFFDB">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1</w:t>
      </w:r>
      <w:r>
        <w:rPr>
          <w:rFonts w:ascii="Times New Roman" w:hAnsi="Times New Roman" w:eastAsia="仿宋_GB2312"/>
          <w:b w:val="0"/>
          <w:bCs/>
          <w:sz w:val="32"/>
          <w:szCs w:val="32"/>
        </w:rPr>
        <w:t>.加强技术研发与应用：</w:t>
      </w:r>
      <w:r>
        <w:rPr>
          <w:rFonts w:ascii="Times New Roman" w:hAnsi="Times New Roman" w:eastAsia="仿宋_GB2312" w:cs="Times New Roman"/>
          <w:b w:val="0"/>
          <w:bCs/>
          <w:snapToGrid w:val="0"/>
          <w:spacing w:val="-6"/>
          <w:kern w:val="0"/>
          <w:sz w:val="32"/>
          <w:szCs w:val="32"/>
        </w:rPr>
        <w:t>依托科研机构将物联网、数字孪生、人工智能等技术应用于抗震防灾设施建设，提升设施的智能化水平和抗震韧性</w:t>
      </w:r>
      <w:r>
        <w:rPr>
          <w:rFonts w:hint="eastAsia" w:ascii="Times New Roman" w:hAnsi="Times New Roman" w:eastAsia="仿宋_GB2312" w:cs="Times New Roman"/>
          <w:b w:val="0"/>
          <w:bCs/>
          <w:snapToGrid w:val="0"/>
          <w:spacing w:val="-6"/>
          <w:kern w:val="0"/>
          <w:sz w:val="32"/>
          <w:szCs w:val="32"/>
        </w:rPr>
        <w:t>。</w:t>
      </w:r>
    </w:p>
    <w:p w14:paraId="1C520FFC">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2</w:t>
      </w:r>
      <w:r>
        <w:rPr>
          <w:rFonts w:ascii="Times New Roman" w:hAnsi="Times New Roman" w:eastAsia="仿宋_GB2312"/>
          <w:b w:val="0"/>
          <w:bCs/>
          <w:sz w:val="32"/>
          <w:szCs w:val="32"/>
        </w:rPr>
        <w:t>.建立技术支撑体系：</w:t>
      </w:r>
      <w:r>
        <w:rPr>
          <w:rFonts w:ascii="Times New Roman" w:hAnsi="Times New Roman" w:eastAsia="仿宋_GB2312" w:cs="Times New Roman"/>
          <w:b w:val="0"/>
          <w:bCs/>
          <w:snapToGrid w:val="0"/>
          <w:spacing w:val="-6"/>
          <w:kern w:val="0"/>
          <w:sz w:val="32"/>
          <w:szCs w:val="32"/>
        </w:rPr>
        <w:t>组建市级抗震防灾专家库，为规划实施提供技术咨询与指导；定期组织技术培训，提升相关部门与人员的技术水平</w:t>
      </w:r>
      <w:r>
        <w:rPr>
          <w:rFonts w:hint="eastAsia" w:ascii="Times New Roman" w:hAnsi="Times New Roman" w:eastAsia="仿宋_GB2312" w:cs="Times New Roman"/>
          <w:b w:val="0"/>
          <w:bCs/>
          <w:snapToGrid w:val="0"/>
          <w:spacing w:val="-6"/>
          <w:kern w:val="0"/>
          <w:sz w:val="32"/>
          <w:szCs w:val="32"/>
        </w:rPr>
        <w:t>。</w:t>
      </w:r>
    </w:p>
    <w:p w14:paraId="61306409">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3</w:t>
      </w:r>
      <w:r>
        <w:rPr>
          <w:rFonts w:ascii="Times New Roman" w:hAnsi="Times New Roman" w:eastAsia="仿宋_GB2312"/>
          <w:b w:val="0"/>
          <w:bCs/>
          <w:sz w:val="32"/>
          <w:szCs w:val="32"/>
        </w:rPr>
        <w:t>.开展技术交流与合作：</w:t>
      </w:r>
      <w:r>
        <w:rPr>
          <w:rFonts w:ascii="Times New Roman" w:hAnsi="Times New Roman" w:eastAsia="仿宋_GB2312" w:cs="Times New Roman"/>
          <w:b w:val="0"/>
          <w:bCs/>
          <w:snapToGrid w:val="0"/>
          <w:spacing w:val="-6"/>
          <w:kern w:val="0"/>
          <w:sz w:val="32"/>
          <w:szCs w:val="32"/>
        </w:rPr>
        <w:t>加强与国内外先进城市的技术交流与合作，学习借鉴抗震防灾设施建设的先进经验和技术；定期组织技术培训和研讨会，提升从业人员的专业技术水平。</w:t>
      </w:r>
    </w:p>
    <w:p w14:paraId="3940AD91">
      <w:pPr>
        <w:pStyle w:val="3"/>
        <w:keepNext w:val="0"/>
        <w:keepLines w:val="0"/>
        <w:spacing w:before="0" w:after="0" w:line="560" w:lineRule="exact"/>
        <w:ind w:firstLine="643"/>
        <w:rPr>
          <w:rFonts w:ascii="Times New Roman" w:hAnsi="Times New Roman" w:cs="Times New Roman"/>
          <w:b w:val="0"/>
          <w:bCs/>
        </w:rPr>
      </w:pPr>
      <w:r>
        <w:rPr>
          <w:rFonts w:hint="eastAsia" w:ascii="Times New Roman" w:hAnsi="Times New Roman" w:cs="Times New Roman"/>
          <w:b w:val="0"/>
          <w:bCs/>
        </w:rPr>
        <w:t>（四）</w:t>
      </w:r>
      <w:r>
        <w:rPr>
          <w:rFonts w:ascii="Times New Roman" w:hAnsi="Times New Roman" w:cs="Times New Roman"/>
          <w:b w:val="0"/>
          <w:bCs/>
        </w:rPr>
        <w:t>人才保障</w:t>
      </w:r>
    </w:p>
    <w:p w14:paraId="3BFF2D08">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1</w:t>
      </w:r>
      <w:r>
        <w:rPr>
          <w:rFonts w:ascii="Times New Roman" w:hAnsi="Times New Roman" w:eastAsia="仿宋_GB2312"/>
          <w:b w:val="0"/>
          <w:bCs/>
          <w:sz w:val="32"/>
          <w:szCs w:val="32"/>
        </w:rPr>
        <w:t>.组建专家库：</w:t>
      </w:r>
      <w:r>
        <w:rPr>
          <w:rFonts w:ascii="Times New Roman" w:hAnsi="Times New Roman" w:eastAsia="仿宋_GB2312" w:cs="Times New Roman"/>
          <w:b w:val="0"/>
          <w:bCs/>
          <w:snapToGrid w:val="0"/>
          <w:spacing w:val="-6"/>
          <w:kern w:val="0"/>
          <w:sz w:val="32"/>
          <w:szCs w:val="32"/>
        </w:rPr>
        <w:t>组建由地震工程、结构工程、应急管理等领域专家组成的苏州市抗震防灾专家库，为规划编制、设施建设、应急响应等提供技术支持；定期组织专家开展技术咨询和评估工作。</w:t>
      </w:r>
    </w:p>
    <w:p w14:paraId="09142505">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2</w:t>
      </w:r>
      <w:r>
        <w:rPr>
          <w:rFonts w:ascii="Times New Roman" w:hAnsi="Times New Roman" w:eastAsia="仿宋_GB2312"/>
          <w:b w:val="0"/>
          <w:bCs/>
          <w:sz w:val="32"/>
          <w:szCs w:val="32"/>
        </w:rPr>
        <w:t>.加强人才培养：</w:t>
      </w:r>
      <w:r>
        <w:rPr>
          <w:rFonts w:ascii="Times New Roman" w:hAnsi="Times New Roman" w:eastAsia="仿宋_GB2312" w:cs="Times New Roman"/>
          <w:b w:val="0"/>
          <w:bCs/>
          <w:snapToGrid w:val="0"/>
          <w:spacing w:val="-6"/>
          <w:kern w:val="0"/>
          <w:sz w:val="32"/>
          <w:szCs w:val="32"/>
        </w:rPr>
        <w:t>支持高校开设抗震防灾相关专业，培养专业技术人才；定期组织从业人员开展培训和考核，提升专业技能和应急处置能力；建立人才引进机制，吸引国内外抗震防灾领域的高端人才来苏工作。</w:t>
      </w:r>
    </w:p>
    <w:p w14:paraId="32BECBA1">
      <w:pPr>
        <w:spacing w:line="560" w:lineRule="exact"/>
        <w:ind w:firstLine="640" w:firstLineChars="200"/>
        <w:rPr>
          <w:rFonts w:ascii="Times New Roman" w:hAnsi="Times New Roman" w:eastAsia="仿宋_GB2312" w:cs="Times New Roman"/>
          <w:b w:val="0"/>
          <w:bCs/>
          <w:snapToGrid w:val="0"/>
          <w:spacing w:val="-6"/>
          <w:kern w:val="0"/>
          <w:sz w:val="32"/>
          <w:szCs w:val="32"/>
        </w:rPr>
      </w:pPr>
      <w:r>
        <w:rPr>
          <w:rFonts w:hint="eastAsia" w:ascii="Times New Roman" w:hAnsi="Times New Roman" w:eastAsia="仿宋_GB2312"/>
          <w:b w:val="0"/>
          <w:bCs/>
          <w:sz w:val="32"/>
          <w:szCs w:val="32"/>
        </w:rPr>
        <w:t>3</w:t>
      </w:r>
      <w:r>
        <w:rPr>
          <w:rFonts w:ascii="Times New Roman" w:hAnsi="Times New Roman" w:eastAsia="仿宋_GB2312"/>
          <w:b w:val="0"/>
          <w:bCs/>
          <w:sz w:val="32"/>
          <w:szCs w:val="32"/>
        </w:rPr>
        <w:t>.强化公众参与：</w:t>
      </w:r>
      <w:r>
        <w:rPr>
          <w:rFonts w:ascii="Times New Roman" w:hAnsi="Times New Roman" w:eastAsia="仿宋_GB2312" w:cs="Times New Roman"/>
          <w:b w:val="0"/>
          <w:bCs/>
          <w:snapToGrid w:val="0"/>
          <w:spacing w:val="-6"/>
          <w:kern w:val="0"/>
          <w:sz w:val="32"/>
          <w:szCs w:val="32"/>
        </w:rPr>
        <w:t>通过社区讲座、应急演练、新媒体宣传等多种形式，普及抗震防灾知识，提升市民应急避险意识和能力</w:t>
      </w:r>
      <w:r>
        <w:rPr>
          <w:rFonts w:hint="eastAsia" w:ascii="Times New Roman" w:hAnsi="Times New Roman" w:eastAsia="仿宋_GB2312" w:cs="Times New Roman"/>
          <w:b w:val="0"/>
          <w:bCs/>
          <w:snapToGrid w:val="0"/>
          <w:spacing w:val="-6"/>
          <w:kern w:val="0"/>
          <w:sz w:val="32"/>
          <w:szCs w:val="32"/>
        </w:rPr>
        <w:t>。</w:t>
      </w:r>
    </w:p>
    <w:sectPr>
      <w:footerReference r:id="rId3" w:type="default"/>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等线">
    <w:altName w:val="仿宋_GB2312"/>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7DD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2BEAD">
                          <w:pPr>
                            <w:pStyle w:val="6"/>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eastAsia" w:ascii="Times New Roman" w:hAnsi="Times New Roman" w:cs="Times New Roman"/>
                              <w:sz w:val="21"/>
                              <w:szCs w:val="21"/>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C2BEAD">
                    <w:pPr>
                      <w:pStyle w:val="6"/>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eastAsia" w:ascii="Times New Roman" w:hAnsi="Times New Roman" w:cs="Times New Roman"/>
                        <w:sz w:val="21"/>
                        <w:szCs w:val="21"/>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229"/>
    <w:rsid w:val="001B4F32"/>
    <w:rsid w:val="003B1992"/>
    <w:rsid w:val="00573A61"/>
    <w:rsid w:val="006A11AB"/>
    <w:rsid w:val="00774A0C"/>
    <w:rsid w:val="008231CF"/>
    <w:rsid w:val="0087054F"/>
    <w:rsid w:val="00A1756A"/>
    <w:rsid w:val="00A61229"/>
    <w:rsid w:val="00D606E9"/>
    <w:rsid w:val="00DB3721"/>
    <w:rsid w:val="00F32D6F"/>
    <w:rsid w:val="00FD411E"/>
    <w:rsid w:val="05581D3C"/>
    <w:rsid w:val="07706624"/>
    <w:rsid w:val="087B56B8"/>
    <w:rsid w:val="0A9160DE"/>
    <w:rsid w:val="13DD7ADC"/>
    <w:rsid w:val="1513690F"/>
    <w:rsid w:val="15375A77"/>
    <w:rsid w:val="15910B7E"/>
    <w:rsid w:val="178A4EEC"/>
    <w:rsid w:val="1A3E19FE"/>
    <w:rsid w:val="1A647334"/>
    <w:rsid w:val="1AD001BF"/>
    <w:rsid w:val="203F0B45"/>
    <w:rsid w:val="20410A86"/>
    <w:rsid w:val="204F4230"/>
    <w:rsid w:val="20DF5AB7"/>
    <w:rsid w:val="25DF3773"/>
    <w:rsid w:val="2C14671D"/>
    <w:rsid w:val="2DB4198D"/>
    <w:rsid w:val="36BB1AA7"/>
    <w:rsid w:val="443B7B3B"/>
    <w:rsid w:val="487A07B5"/>
    <w:rsid w:val="4DB0662A"/>
    <w:rsid w:val="545C0256"/>
    <w:rsid w:val="564B4B24"/>
    <w:rsid w:val="58032813"/>
    <w:rsid w:val="5E8965D3"/>
    <w:rsid w:val="5EA24EFC"/>
    <w:rsid w:val="65B92A25"/>
    <w:rsid w:val="6A1D3632"/>
    <w:rsid w:val="6A9E5A1B"/>
    <w:rsid w:val="70A95C23"/>
    <w:rsid w:val="70AB7EBB"/>
    <w:rsid w:val="72742DEF"/>
    <w:rsid w:val="784D411C"/>
    <w:rsid w:val="7E5F8FE8"/>
    <w:rsid w:val="7E922621"/>
    <w:rsid w:val="7F951404"/>
    <w:rsid w:val="BBFCA820"/>
    <w:rsid w:val="DFF38473"/>
    <w:rsid w:val="FFDCC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80" w:after="80" w:line="360" w:lineRule="auto"/>
      <w:outlineLvl w:val="0"/>
    </w:pPr>
    <w:rPr>
      <w:rFonts w:ascii="Times New Roman" w:hAnsi="Times New Roman" w:eastAsia="黑体" w:cs="Times New Roman"/>
      <w:b/>
      <w:bCs/>
      <w:kern w:val="44"/>
      <w:sz w:val="32"/>
      <w:szCs w:val="44"/>
    </w:rPr>
  </w:style>
  <w:style w:type="paragraph" w:styleId="3">
    <w:name w:val="heading 2"/>
    <w:basedOn w:val="1"/>
    <w:next w:val="1"/>
    <w:link w:val="18"/>
    <w:unhideWhenUsed/>
    <w:qFormat/>
    <w:uiPriority w:val="9"/>
    <w:pPr>
      <w:keepNext/>
      <w:keepLines/>
      <w:spacing w:before="60" w:after="60" w:line="360" w:lineRule="auto"/>
      <w:ind w:firstLine="200" w:firstLineChars="200"/>
      <w:outlineLvl w:val="1"/>
    </w:pPr>
    <w:rPr>
      <w:rFonts w:eastAsia="楷体_GB2312" w:asciiTheme="majorHAnsi" w:hAnsiTheme="majorHAnsi" w:cstheme="majorBidi"/>
      <w:b/>
      <w:bCs/>
      <w:sz w:val="32"/>
      <w:szCs w:val="32"/>
    </w:rPr>
  </w:style>
  <w:style w:type="paragraph" w:styleId="4">
    <w:name w:val="heading 3"/>
    <w:basedOn w:val="1"/>
    <w:next w:val="1"/>
    <w:link w:val="14"/>
    <w:unhideWhenUsed/>
    <w:qFormat/>
    <w:uiPriority w:val="9"/>
    <w:pPr>
      <w:keepNext/>
      <w:keepLines/>
      <w:spacing w:before="20" w:after="20" w:line="360" w:lineRule="auto"/>
      <w:ind w:firstLine="200" w:firstLineChars="200"/>
      <w:outlineLvl w:val="2"/>
    </w:pPr>
    <w:rPr>
      <w:rFonts w:eastAsia="仿宋_GB2312"/>
      <w:b/>
      <w:bCs/>
      <w:sz w:val="32"/>
      <w:szCs w:val="32"/>
    </w:rPr>
  </w:style>
  <w:style w:type="paragraph" w:styleId="5">
    <w:name w:val="heading 4"/>
    <w:basedOn w:val="1"/>
    <w:next w:val="1"/>
    <w:link w:val="15"/>
    <w:unhideWhenUsed/>
    <w:qFormat/>
    <w:uiPriority w:val="9"/>
    <w:pPr>
      <w:keepNext/>
      <w:keepLines/>
      <w:spacing w:before="60" w:after="60" w:line="360" w:lineRule="auto"/>
      <w:ind w:firstLine="200" w:firstLineChars="200"/>
      <w:outlineLvl w:val="3"/>
    </w:pPr>
    <w:rPr>
      <w:rFonts w:eastAsia="仿宋_GB2312" w:asciiTheme="majorHAnsi" w:hAnsiTheme="majorHAnsi" w:cstheme="majorBidi"/>
      <w:b/>
      <w:bCs/>
      <w:sz w:val="32"/>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Title"/>
    <w:basedOn w:val="1"/>
    <w:next w:val="1"/>
    <w:qFormat/>
    <w:uiPriority w:val="0"/>
    <w:pPr>
      <w:jc w:val="center"/>
      <w:outlineLvl w:val="0"/>
    </w:pPr>
    <w:rPr>
      <w:rFonts w:ascii="等线 Light" w:hAnsi="等线 Light" w:eastAsia="黑体"/>
      <w:bCs/>
      <w:sz w:val="44"/>
      <w:szCs w:val="32"/>
    </w:rPr>
  </w:style>
  <w:style w:type="character" w:styleId="12">
    <w:name w:val="Strong"/>
    <w:basedOn w:val="11"/>
    <w:qFormat/>
    <w:uiPriority w:val="22"/>
    <w:rPr>
      <w:b/>
    </w:rPr>
  </w:style>
  <w:style w:type="character" w:customStyle="1" w:styleId="13">
    <w:name w:val="标题 1 字符"/>
    <w:basedOn w:val="11"/>
    <w:link w:val="2"/>
    <w:qFormat/>
    <w:uiPriority w:val="9"/>
    <w:rPr>
      <w:rFonts w:ascii="Times New Roman" w:hAnsi="Times New Roman" w:eastAsia="黑体" w:cs="Times New Roman"/>
      <w:b/>
      <w:bCs/>
      <w:kern w:val="44"/>
      <w:sz w:val="32"/>
      <w:szCs w:val="44"/>
    </w:rPr>
  </w:style>
  <w:style w:type="character" w:customStyle="1" w:styleId="14">
    <w:name w:val="标题 3 字符"/>
    <w:basedOn w:val="11"/>
    <w:link w:val="4"/>
    <w:qFormat/>
    <w:uiPriority w:val="9"/>
    <w:rPr>
      <w:rFonts w:eastAsia="仿宋_GB2312"/>
      <w:b/>
      <w:bCs/>
      <w:sz w:val="32"/>
      <w:szCs w:val="32"/>
    </w:rPr>
  </w:style>
  <w:style w:type="character" w:customStyle="1" w:styleId="15">
    <w:name w:val="标题 4 字符"/>
    <w:basedOn w:val="11"/>
    <w:link w:val="5"/>
    <w:qFormat/>
    <w:uiPriority w:val="9"/>
    <w:rPr>
      <w:rFonts w:eastAsia="仿宋_GB2312" w:asciiTheme="majorHAnsi" w:hAnsiTheme="majorHAnsi" w:cstheme="majorBidi"/>
      <w:b/>
      <w:bCs/>
      <w:sz w:val="32"/>
      <w:szCs w:val="28"/>
    </w:rPr>
  </w:style>
  <w:style w:type="character" w:customStyle="1" w:styleId="16">
    <w:name w:val="页眉 字符"/>
    <w:basedOn w:val="11"/>
    <w:link w:val="7"/>
    <w:qFormat/>
    <w:uiPriority w:val="99"/>
    <w:rPr>
      <w:rFonts w:asciiTheme="minorHAnsi" w:hAnsiTheme="minorHAnsi" w:eastAsiaTheme="minorEastAsia" w:cstheme="minorBidi"/>
      <w:kern w:val="2"/>
      <w:sz w:val="18"/>
      <w:szCs w:val="18"/>
    </w:rPr>
  </w:style>
  <w:style w:type="character" w:customStyle="1" w:styleId="17">
    <w:name w:val="页脚 字符"/>
    <w:basedOn w:val="11"/>
    <w:link w:val="6"/>
    <w:qFormat/>
    <w:uiPriority w:val="99"/>
    <w:rPr>
      <w:rFonts w:asciiTheme="minorHAnsi" w:hAnsiTheme="minorHAnsi" w:eastAsiaTheme="minorEastAsia" w:cstheme="minorBidi"/>
      <w:kern w:val="2"/>
      <w:sz w:val="18"/>
      <w:szCs w:val="18"/>
    </w:rPr>
  </w:style>
  <w:style w:type="character" w:customStyle="1" w:styleId="18">
    <w:name w:val="标题 2 字符"/>
    <w:basedOn w:val="11"/>
    <w:link w:val="3"/>
    <w:qFormat/>
    <w:uiPriority w:val="9"/>
    <w:rPr>
      <w:rFonts w:eastAsia="楷体_GB2312"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4728</Words>
  <Characters>4826</Characters>
  <Lines>34</Lines>
  <Paragraphs>9</Paragraphs>
  <TotalTime>21</TotalTime>
  <ScaleCrop>false</ScaleCrop>
  <LinksUpToDate>false</LinksUpToDate>
  <CharactersWithSpaces>4828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2026-05-16T09:58:00Z</dcterms:created>
  <dc:creator>lenovo</dc:creator>
  <cp:lastModifiedBy>zhao.</cp:lastModifiedBy>
  <cp:lastPrinted>2026-08-26T17:09:00Z</cp:lastPrinted>
  <dcterms:modified xsi:type="dcterms:W3CDTF">2026-08-26T14:52:14Z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B38A5F53AFE216077F008D6A2C74DCAA_43</vt:lpwstr>
  </property>
  <property fmtid="{D5CDD505-2E9C-101B-9397-08002B2CF9AE}" pid="4" name="KSOTemplateDocerSaveRecord">
    <vt:lpwstr>eyJoZGlkIjoiZWM3MDBlYjQ3NWEwYjgwNzhjOWZiMGUyY2E0NTM2MjkiLCJ1c2VySWQiOiI0ODgwNjQ5OTQifQ==</vt:lpwstr>
  </property>
</Properties>
</file>