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3D" w:rsidRPr="00AA493D" w:rsidRDefault="00AA493D" w:rsidP="00AA493D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AA493D" w:rsidRPr="00AA493D" w:rsidRDefault="00AA493D" w:rsidP="00AA493D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A493D">
        <w:rPr>
          <w:rFonts w:ascii="方正小标宋_GBK" w:eastAsia="方正小标宋_GBK" w:hAnsi="Times New Roman" w:cs="Times New Roman" w:hint="eastAsia"/>
          <w:sz w:val="44"/>
          <w:szCs w:val="44"/>
        </w:rPr>
        <w:t>2021年度苏州市“姑苏杯”优质工程奖</w:t>
      </w:r>
    </w:p>
    <w:p w:rsidR="00AA493D" w:rsidRPr="00AA493D" w:rsidRDefault="00AA493D" w:rsidP="00AA493D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A493D">
        <w:rPr>
          <w:rFonts w:ascii="方正小标宋_GBK" w:eastAsia="方正小标宋_GBK" w:hAnsi="Times New Roman" w:cs="Times New Roman" w:hint="eastAsia"/>
          <w:sz w:val="44"/>
          <w:szCs w:val="44"/>
        </w:rPr>
        <w:t>（市政等类）申报规模标准</w:t>
      </w:r>
    </w:p>
    <w:p w:rsidR="00AA493D" w:rsidRPr="00AA493D" w:rsidRDefault="00AA493D" w:rsidP="00AA493D">
      <w:pPr>
        <w:spacing w:line="260" w:lineRule="exact"/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A493D">
        <w:rPr>
          <w:rFonts w:ascii="黑体" w:eastAsia="黑体" w:hAnsi="黑体" w:cs="Times New Roman" w:hint="eastAsia"/>
          <w:sz w:val="32"/>
          <w:szCs w:val="32"/>
        </w:rPr>
        <w:t>一、市政工程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1.城市道路、广场、地下管线、管廊、景观绿化：单位工程造价≥1200万元。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2.高架桥工程：连续长度≥1200m。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3.互通立交桥工程：单位工程造价≥4000万元。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4.桥梁工程：单跨跨度≥40m。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5.隧道工程：断面≥20</w:t>
      </w:r>
      <w:r w:rsidRPr="00AA493D">
        <w:rPr>
          <w:rFonts w:ascii="Batang" w:eastAsia="Batang" w:hAnsi="Batang" w:cs="Batang" w:hint="eastAsia"/>
          <w:sz w:val="32"/>
          <w:szCs w:val="32"/>
        </w:rPr>
        <w:t>㎡</w:t>
      </w:r>
      <w:r w:rsidRPr="00AA493D">
        <w:rPr>
          <w:rFonts w:ascii="Batang" w:eastAsia="宋体" w:hAnsi="Batang" w:cs="Batang" w:hint="eastAsia"/>
          <w:sz w:val="32"/>
          <w:szCs w:val="32"/>
        </w:rPr>
        <w:t>,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 xml:space="preserve"> 单位工程造价≥1200万元。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6.给水厂及污水处理厂工程：日处理能力≥4万吨。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7.垃圾填埋处理工程：单位工程造价≥2400万元。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8.泵站工程：单位工程造价≥1200万元。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9.城市照明工程：单位工程造价≥200万元。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参建单位工作量≥单位工程造价的10%或1200万元的，均可作为参建单位申报。</w:t>
      </w:r>
    </w:p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A493D">
        <w:rPr>
          <w:rFonts w:ascii="黑体" w:eastAsia="黑体" w:hAnsi="黑体" w:cs="Times New Roman" w:hint="eastAsia"/>
          <w:sz w:val="32"/>
          <w:szCs w:val="32"/>
        </w:rPr>
        <w:t>二、城市轨道交通工程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1.工程规模在</w:t>
      </w:r>
      <w:proofErr w:type="gramStart"/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proofErr w:type="gramEnd"/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车站</w:t>
      </w:r>
      <w:proofErr w:type="gramStart"/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proofErr w:type="gramEnd"/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区间以上的项目。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2.工程造价≥2亿元的换乘车站或区间。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3.工程造价≥2亿元的车辆段或停车场。</w:t>
      </w:r>
    </w:p>
    <w:p w:rsidR="00AA493D" w:rsidRPr="00AA493D" w:rsidRDefault="00AA493D" w:rsidP="00AA493D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28"/>
          <w:szCs w:val="28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4.建筑面积≥1万</w:t>
      </w:r>
      <w:r w:rsidRPr="00AA493D">
        <w:rPr>
          <w:rFonts w:ascii="Batang" w:eastAsia="Batang" w:hAnsi="Batang" w:cs="Batang" w:hint="eastAsia"/>
          <w:sz w:val="32"/>
          <w:szCs w:val="32"/>
        </w:rPr>
        <w:t>㎡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的控制中心。</w:t>
      </w:r>
      <w:bookmarkStart w:id="0" w:name="_Hlk33708911"/>
    </w:p>
    <w:bookmarkEnd w:id="0"/>
    <w:p w:rsidR="00AA493D" w:rsidRPr="00AA493D" w:rsidRDefault="00AA493D" w:rsidP="00AA493D">
      <w:pPr>
        <w:spacing w:line="52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A493D">
        <w:rPr>
          <w:rFonts w:ascii="黑体" w:eastAsia="黑体" w:hAnsi="黑体" w:cs="Times New Roman" w:hint="eastAsia"/>
          <w:sz w:val="32"/>
          <w:szCs w:val="32"/>
        </w:rPr>
        <w:t>三、市政养护工程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1.道路及道路综合设施养护工程：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1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）申报项目为单条道路的，不得小于8万平方米（同一名称道路不得分割申报）；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2）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申报项目为多条相互连接的道路的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,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不得小于6万平方米；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（3）申报项目为高架道路或大型互通立交设施的，不得小于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4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万平方米；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（4）道路综合设施包括车行道、人行道、桥梁、排水管道及其附属设施（须在申报时注明包含具体内容）。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2.桥梁、隧道、河道养护工程：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1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）桥梁：单孔跨径大于100m、多孔总长超1000m或特殊结构的桥梁；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2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）隧道：宽度达8米以上，长度达1000米以上。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（3）河道：连续长度大于等于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4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000米。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3.城市照明养护工程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AA493D">
        <w:rPr>
          <w:rFonts w:ascii="仿宋_GB2312" w:eastAsia="仿宋_GB2312" w:hAnsi="Times New Roman" w:cs="Times New Roman"/>
          <w:sz w:val="32"/>
          <w:szCs w:val="32"/>
        </w:rPr>
        <w:t>1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）功能照明总灯盏数大于5万盏的</w:t>
      </w:r>
      <w:r w:rsidRPr="00AA493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市（区）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，最多可推荐申报3个养护工程；功能照明总灯盏数小于5万盏的</w:t>
      </w:r>
      <w:r w:rsidRPr="00AA493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市（区），最多</w:t>
      </w: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可推荐申报2个养护工程；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2）必须符合下列设施量条件：一个养护工程总灯盏不少于1500盏，应由一定片区范围内相连的数条快速路、主次干道（五条及以上）组成，可包含街巷、桥梁、隧道、广场、住宅区、公园、公共绿地等功能照明设施；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>（3）安全指标。安全指标应符合以下指标，否则不予参评：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 xml:space="preserve">  1)配电设备接地电阻符合相关电气规定，小于4欧姆;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 xml:space="preserve">  2)金属灯杆保护接地良好，接地电阻小于4欧姆;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t xml:space="preserve">  3)申报项目在申报周期内发生重伤以上安全事故的不得申报。</w:t>
      </w:r>
    </w:p>
    <w:p w:rsidR="00AA493D" w:rsidRPr="00AA493D" w:rsidRDefault="00AA493D" w:rsidP="00AA493D">
      <w:pPr>
        <w:tabs>
          <w:tab w:val="left" w:pos="1155"/>
        </w:tabs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A493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（4）光源指标：含有汞灯、白炽灯光源的不予参评。</w:t>
      </w:r>
    </w:p>
    <w:p w:rsidR="00C941C6" w:rsidRPr="00AA493D" w:rsidRDefault="00C941C6">
      <w:bookmarkStart w:id="1" w:name="_GoBack"/>
      <w:bookmarkEnd w:id="1"/>
    </w:p>
    <w:sectPr w:rsidR="00C941C6" w:rsidRPr="00AA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3D"/>
    <w:rsid w:val="00AA493D"/>
    <w:rsid w:val="00C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049BA-70FF-40B4-BC7B-98C7222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511</Characters>
  <Application>Microsoft Office Word</Application>
  <DocSecurity>0</DocSecurity>
  <Lines>20</Lines>
  <Paragraphs>20</Paragraphs>
  <ScaleCrop>false</ScaleCrop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非乔</dc:creator>
  <cp:keywords/>
  <dc:description/>
  <cp:lastModifiedBy>路 非乔</cp:lastModifiedBy>
  <cp:revision>1</cp:revision>
  <dcterms:created xsi:type="dcterms:W3CDTF">2021-04-30T10:24:00Z</dcterms:created>
  <dcterms:modified xsi:type="dcterms:W3CDTF">2021-04-30T10:25:00Z</dcterms:modified>
</cp:coreProperties>
</file>