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rPr>
          <w:rFonts w:hint="eastAsia" w:ascii="黑体" w:hAnsi="黑体" w:eastAsia="黑体" w:cs="黑体"/>
          <w:kern w:val="0"/>
          <w:sz w:val="32"/>
          <w:szCs w:val="32"/>
          <w:highlight w:val="white"/>
        </w:rPr>
      </w:pPr>
      <w:r>
        <w:rPr>
          <w:rFonts w:hint="eastAsia" w:ascii="黑体" w:hAnsi="黑体" w:eastAsia="黑体" w:cs="黑体"/>
          <w:kern w:val="0"/>
          <w:sz w:val="32"/>
          <w:szCs w:val="32"/>
          <w:highlight w:val="white"/>
        </w:rPr>
        <w:t>附件1</w:t>
      </w:r>
    </w:p>
    <w:p>
      <w:pPr>
        <w:adjustRightInd w:val="0"/>
        <w:snapToGrid w:val="0"/>
        <w:spacing w:line="560" w:lineRule="exact"/>
        <w:jc w:val="center"/>
        <w:rPr>
          <w:rFonts w:hint="default" w:ascii="Times New Roman" w:hAnsi="Times New Roman" w:cs="Times New Roman"/>
          <w:color w:val="000000"/>
          <w:sz w:val="44"/>
          <w:szCs w:val="44"/>
          <w:highlight w:val="white"/>
        </w:rPr>
      </w:pPr>
    </w:p>
    <w:p>
      <w:pPr>
        <w:tabs>
          <w:tab w:val="left" w:pos="9193"/>
          <w:tab w:val="left" w:pos="9827"/>
        </w:tabs>
        <w:autoSpaceDE w:val="0"/>
        <w:autoSpaceDN w:val="0"/>
        <w:snapToGrid w:val="0"/>
        <w:spacing w:line="640" w:lineRule="atLeast"/>
        <w:jc w:val="center"/>
        <w:rPr>
          <w:rFonts w:hint="default" w:ascii="Times New Roman" w:hAnsi="Times New Roman" w:eastAsia="方正小标宋_GBK" w:cs="Times New Roman"/>
          <w:snapToGrid w:val="0"/>
          <w:kern w:val="0"/>
          <w:sz w:val="44"/>
          <w:highlight w:val="white"/>
        </w:rPr>
      </w:pPr>
      <w:r>
        <w:rPr>
          <w:rFonts w:hint="default" w:ascii="Times New Roman" w:hAnsi="Times New Roman" w:eastAsia="方正小标宋_GBK" w:cs="Times New Roman"/>
          <w:snapToGrid w:val="0"/>
          <w:kern w:val="0"/>
          <w:sz w:val="44"/>
          <w:highlight w:val="white"/>
        </w:rPr>
        <w:t>202</w:t>
      </w:r>
      <w:r>
        <w:rPr>
          <w:rFonts w:hint="default" w:ascii="Times New Roman" w:hAnsi="Times New Roman" w:eastAsia="方正小标宋_GBK" w:cs="Times New Roman"/>
          <w:snapToGrid w:val="0"/>
          <w:kern w:val="0"/>
          <w:sz w:val="44"/>
          <w:highlight w:val="white"/>
          <w:lang w:val="en-US" w:eastAsia="zh-CN"/>
        </w:rPr>
        <w:t>6</w:t>
      </w:r>
      <w:r>
        <w:rPr>
          <w:rFonts w:hint="default" w:ascii="Times New Roman" w:hAnsi="Times New Roman" w:eastAsia="方正小标宋_GBK" w:cs="Times New Roman"/>
          <w:snapToGrid w:val="0"/>
          <w:kern w:val="0"/>
          <w:sz w:val="44"/>
          <w:highlight w:val="white"/>
        </w:rPr>
        <w:t>年苏州市建筑节能引导资金项目申报指南</w:t>
      </w:r>
    </w:p>
    <w:p>
      <w:pPr>
        <w:adjustRightInd w:val="0"/>
        <w:snapToGrid w:val="0"/>
        <w:spacing w:line="300" w:lineRule="exact"/>
        <w:ind w:firstLine="420" w:firstLineChars="200"/>
        <w:rPr>
          <w:rFonts w:hint="default" w:ascii="Times New Roman" w:hAnsi="Times New Roman" w:cs="Times New Roman"/>
          <w:color w:val="000000"/>
          <w:szCs w:val="32"/>
          <w:highlight w:val="white"/>
        </w:rPr>
      </w:pPr>
    </w:p>
    <w:p>
      <w:pPr>
        <w:spacing w:line="570" w:lineRule="exact"/>
        <w:ind w:firstLine="640" w:firstLineChars="200"/>
        <w:rPr>
          <w:rFonts w:hint="eastAsia" w:ascii="黑体" w:hAnsi="黑体" w:eastAsia="黑体" w:cs="黑体"/>
          <w:kern w:val="0"/>
          <w:sz w:val="32"/>
          <w:szCs w:val="32"/>
          <w:highlight w:val="white"/>
        </w:rPr>
      </w:pPr>
      <w:r>
        <w:rPr>
          <w:rFonts w:hint="eastAsia" w:ascii="黑体" w:hAnsi="黑体" w:eastAsia="黑体" w:cs="黑体"/>
          <w:kern w:val="0"/>
          <w:sz w:val="32"/>
          <w:szCs w:val="32"/>
          <w:highlight w:val="white"/>
        </w:rPr>
        <w:t>一、高品质绿色建筑项目</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（一）申报条件</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kern w:val="32"/>
          <w:sz w:val="32"/>
          <w:szCs w:val="32"/>
          <w:highlight w:val="white"/>
        </w:rPr>
      </w:pPr>
      <w:r>
        <w:rPr>
          <w:rFonts w:hint="eastAsia" w:ascii="仿宋_GB2312" w:hAnsi="仿宋_GB2312" w:eastAsia="仿宋_GB2312" w:cs="仿宋_GB2312"/>
          <w:kern w:val="32"/>
          <w:sz w:val="32"/>
          <w:szCs w:val="32"/>
          <w:highlight w:val="white"/>
        </w:rPr>
        <w:t>1. 绿色设计方面，全面落实“适用、经济、绿色、美观”的建筑方针，布局合理、功能适用，体现地域特色和时代特征。</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kern w:val="32"/>
          <w:sz w:val="32"/>
          <w:szCs w:val="32"/>
          <w:highlight w:val="white"/>
        </w:rPr>
      </w:pPr>
      <w:r>
        <w:rPr>
          <w:rFonts w:hint="eastAsia" w:ascii="仿宋_GB2312" w:hAnsi="仿宋_GB2312" w:eastAsia="仿宋_GB2312" w:cs="仿宋_GB2312"/>
          <w:kern w:val="32"/>
          <w:sz w:val="32"/>
          <w:szCs w:val="32"/>
          <w:highlight w:val="white"/>
        </w:rPr>
        <w:t>2. 技术应用方面，符合因地制宜、被动优先、主动优化的技术理念，技术路线科学合理，集成创新度高，合理使用绿色建材，有较强的引领推广应用价值。</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kern w:val="32"/>
          <w:sz w:val="32"/>
          <w:szCs w:val="32"/>
          <w:highlight w:val="white"/>
        </w:rPr>
      </w:pPr>
      <w:r>
        <w:rPr>
          <w:rFonts w:hint="eastAsia" w:ascii="仿宋_GB2312" w:hAnsi="仿宋_GB2312" w:eastAsia="仿宋_GB2312" w:cs="仿宋_GB2312"/>
          <w:kern w:val="32"/>
          <w:sz w:val="32"/>
          <w:szCs w:val="32"/>
          <w:highlight w:val="white"/>
        </w:rPr>
        <w:t>3. 性能指标方面，绿色低碳性能指标、环境控制指标先进，满足二星级以上绿色建筑标准，碳排放强度原则上比同类建筑低15%以上。</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kern w:val="32"/>
          <w:sz w:val="32"/>
          <w:szCs w:val="32"/>
          <w:highlight w:val="white"/>
        </w:rPr>
      </w:pPr>
      <w:r>
        <w:rPr>
          <w:rFonts w:hint="eastAsia" w:ascii="仿宋_GB2312" w:hAnsi="仿宋_GB2312" w:eastAsia="仿宋_GB2312" w:cs="仿宋_GB2312"/>
          <w:kern w:val="32"/>
          <w:sz w:val="32"/>
          <w:szCs w:val="32"/>
          <w:highlight w:val="white"/>
        </w:rPr>
        <w:t>4. 绿色运营方面，制定绿色运营管理方案，开展建筑运行调适和效果评估，将绿色建筑运行要求纳入物业服务合同约定。</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kern w:val="32"/>
          <w:sz w:val="32"/>
          <w:szCs w:val="32"/>
          <w:highlight w:val="white"/>
        </w:rPr>
      </w:pPr>
      <w:r>
        <w:rPr>
          <w:rFonts w:hint="eastAsia" w:ascii="仿宋_GB2312" w:hAnsi="仿宋_GB2312" w:eastAsia="仿宋_GB2312" w:cs="仿宋_GB2312"/>
          <w:kern w:val="32"/>
          <w:sz w:val="32"/>
          <w:szCs w:val="32"/>
          <w:highlight w:val="white"/>
        </w:rPr>
        <w:t>5.</w:t>
      </w:r>
      <w:r>
        <w:rPr>
          <w:rFonts w:hint="eastAsia" w:ascii="仿宋_GB2312" w:hAnsi="仿宋_GB2312" w:eastAsia="仿宋_GB2312" w:cs="仿宋_GB2312"/>
          <w:sz w:val="32"/>
          <w:szCs w:val="32"/>
          <w:highlight w:val="white"/>
        </w:rPr>
        <w:t xml:space="preserve"> </w:t>
      </w:r>
      <w:r>
        <w:rPr>
          <w:rFonts w:hint="eastAsia" w:ascii="仿宋_GB2312" w:hAnsi="仿宋_GB2312" w:eastAsia="仿宋_GB2312" w:cs="仿宋_GB2312"/>
          <w:kern w:val="32"/>
          <w:sz w:val="32"/>
          <w:szCs w:val="32"/>
          <w:highlight w:val="white"/>
        </w:rPr>
        <w:t>优先支持在建筑机器人、智能施工电梯、5G无人塔吊、轻型造楼机等智能建造装备的技术研发与应用等方面创新性强的项目，鼓励采用BIM技术和装配化装修技术。</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b/>
          <w:kern w:val="32"/>
          <w:sz w:val="32"/>
          <w:szCs w:val="32"/>
          <w:highlight w:val="white"/>
        </w:rPr>
      </w:pPr>
      <w:r>
        <w:rPr>
          <w:rFonts w:hint="eastAsia" w:ascii="仿宋_GB2312" w:hAnsi="仿宋_GB2312" w:eastAsia="仿宋_GB2312" w:cs="仿宋_GB2312"/>
          <w:kern w:val="32"/>
          <w:sz w:val="32"/>
          <w:szCs w:val="32"/>
          <w:highlight w:val="white"/>
        </w:rPr>
        <w:t>6. 完成立项审批手续，</w:t>
      </w:r>
      <w:r>
        <w:rPr>
          <w:rFonts w:hint="eastAsia" w:ascii="仿宋_GB2312" w:hAnsi="仿宋_GB2312" w:eastAsia="仿宋_GB2312" w:cs="仿宋_GB2312"/>
          <w:snapToGrid w:val="0"/>
          <w:kern w:val="32"/>
          <w:sz w:val="32"/>
          <w:szCs w:val="32"/>
          <w:highlight w:val="white"/>
        </w:rPr>
        <w:t>取得建筑施工图审查并取得合格证书，实施周期原则上不超过2年。</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（二）申报单位</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项目建设单位或项目建设单位与技术支撑单位联合申报。</w:t>
      </w:r>
    </w:p>
    <w:p>
      <w:pPr>
        <w:spacing w:line="570" w:lineRule="exact"/>
        <w:ind w:firstLine="640" w:firstLineChars="200"/>
        <w:rPr>
          <w:rFonts w:hint="eastAsia" w:ascii="黑体" w:hAnsi="黑体" w:eastAsia="黑体" w:cs="黑体"/>
          <w:kern w:val="0"/>
          <w:sz w:val="32"/>
          <w:szCs w:val="32"/>
          <w:highlight w:val="white"/>
        </w:rPr>
      </w:pPr>
      <w:r>
        <w:rPr>
          <w:rFonts w:hint="eastAsia" w:ascii="黑体" w:hAnsi="黑体" w:eastAsia="黑体" w:cs="黑体"/>
          <w:kern w:val="0"/>
          <w:sz w:val="32"/>
          <w:szCs w:val="32"/>
          <w:highlight w:val="white"/>
        </w:rPr>
        <w:t>二、超低</w:t>
      </w:r>
      <w:r>
        <w:rPr>
          <w:rFonts w:hint="eastAsia" w:ascii="黑体" w:hAnsi="黑体" w:eastAsia="黑体" w:cs="黑体"/>
          <w:kern w:val="0"/>
          <w:sz w:val="32"/>
          <w:szCs w:val="32"/>
          <w:highlight w:val="white"/>
          <w:lang w:eastAsia="zh-CN"/>
        </w:rPr>
        <w:t>（</w:t>
      </w:r>
      <w:r>
        <w:rPr>
          <w:rFonts w:hint="eastAsia" w:ascii="黑体" w:hAnsi="黑体" w:eastAsia="黑体" w:cs="黑体"/>
          <w:kern w:val="0"/>
          <w:sz w:val="32"/>
          <w:szCs w:val="32"/>
          <w:highlight w:val="white"/>
        </w:rPr>
        <w:t>近零</w:t>
      </w:r>
      <w:r>
        <w:rPr>
          <w:rFonts w:hint="eastAsia" w:ascii="黑体" w:hAnsi="黑体" w:eastAsia="黑体" w:cs="黑体"/>
          <w:kern w:val="0"/>
          <w:sz w:val="32"/>
          <w:szCs w:val="32"/>
          <w:highlight w:val="white"/>
          <w:lang w:eastAsia="zh-CN"/>
        </w:rPr>
        <w:t>）</w:t>
      </w:r>
      <w:r>
        <w:rPr>
          <w:rFonts w:hint="eastAsia" w:ascii="黑体" w:hAnsi="黑体" w:eastAsia="黑体" w:cs="黑体"/>
          <w:kern w:val="0"/>
          <w:sz w:val="32"/>
          <w:szCs w:val="32"/>
          <w:highlight w:val="white"/>
        </w:rPr>
        <w:t>能耗建筑项目</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（一）申报条件</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1. 建筑设计充分体现气候适应性，建筑围护结构性能优越，可再生能源建筑一体化应用创新性强。建筑综合节能率达到82.5%以上。</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2. 居住建筑应满足《江苏省超低能耗居住建筑技术导则（试行）》技术指标要求，公共建筑应满足《近零能耗建筑技术标准》GB/T51350-2019技术指标要求。</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3. 完成立项审批手续，取得建筑施工图审查并取得合格证书，实施周期原则上不超过2年。</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4. 建筑面积原则上不少于1000平方米并整栋实施。</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（二）申报单位</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项目建设单位或项目建设单位与技术支撑单位联合申报。</w:t>
      </w:r>
    </w:p>
    <w:p>
      <w:pPr>
        <w:spacing w:line="570" w:lineRule="exact"/>
        <w:ind w:firstLine="640" w:firstLineChars="200"/>
        <w:rPr>
          <w:rFonts w:hint="eastAsia" w:ascii="黑体" w:hAnsi="黑体" w:eastAsia="黑体" w:cs="黑体"/>
          <w:kern w:val="0"/>
          <w:sz w:val="32"/>
          <w:szCs w:val="32"/>
          <w:highlight w:val="white"/>
        </w:rPr>
      </w:pPr>
      <w:r>
        <w:rPr>
          <w:rFonts w:hint="eastAsia" w:ascii="黑体" w:hAnsi="黑体" w:eastAsia="黑体" w:cs="黑体"/>
          <w:kern w:val="0"/>
          <w:sz w:val="32"/>
          <w:szCs w:val="32"/>
          <w:highlight w:val="white"/>
        </w:rPr>
        <w:t>三、可再生能源建筑应用项目</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（一）申报条件</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kern w:val="32"/>
          <w:sz w:val="32"/>
          <w:szCs w:val="32"/>
          <w:highlight w:val="white"/>
        </w:rPr>
      </w:pPr>
      <w:r>
        <w:rPr>
          <w:rFonts w:hint="eastAsia" w:ascii="仿宋_GB2312" w:hAnsi="仿宋_GB2312" w:eastAsia="仿宋_GB2312" w:cs="仿宋_GB2312"/>
          <w:kern w:val="32"/>
          <w:sz w:val="32"/>
          <w:szCs w:val="32"/>
          <w:highlight w:val="white"/>
        </w:rPr>
        <w:t>1. 综合应用太阳能光伏、太阳能光热、浅层地热能等可再生能源建筑的项目，优先支持</w:t>
      </w:r>
      <w:r>
        <w:rPr>
          <w:rFonts w:hint="eastAsia" w:ascii="仿宋_GB2312" w:hAnsi="仿宋_GB2312" w:eastAsia="仿宋_GB2312" w:cs="仿宋_GB2312"/>
          <w:color w:val="000000"/>
          <w:sz w:val="32"/>
          <w:szCs w:val="32"/>
          <w:highlight w:val="white"/>
        </w:rPr>
        <w:t>两种以上可再生能源耦合利用的项目。</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kern w:val="32"/>
          <w:sz w:val="32"/>
          <w:szCs w:val="32"/>
          <w:highlight w:val="white"/>
        </w:rPr>
      </w:pPr>
      <w:r>
        <w:rPr>
          <w:rFonts w:hint="eastAsia" w:ascii="仿宋_GB2312" w:hAnsi="仿宋_GB2312" w:eastAsia="仿宋_GB2312" w:cs="仿宋_GB2312"/>
          <w:kern w:val="32"/>
          <w:sz w:val="32"/>
          <w:szCs w:val="32"/>
          <w:highlight w:val="white"/>
        </w:rPr>
        <w:t>2. 优先支持太阳能光伏建筑应用项目，重点支持采用光伏瓦、光伏幕墙等太阳能光伏建筑一体化（BIPV）应用项目。建筑光伏电力以自用消纳为主，余电可通过储能、并网等方式合理利用。</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kern w:val="32"/>
          <w:sz w:val="32"/>
          <w:szCs w:val="32"/>
          <w:highlight w:val="white"/>
        </w:rPr>
      </w:pPr>
      <w:r>
        <w:rPr>
          <w:rFonts w:hint="eastAsia" w:ascii="仿宋_GB2312" w:hAnsi="仿宋_GB2312" w:eastAsia="仿宋_GB2312" w:cs="仿宋_GB2312"/>
          <w:kern w:val="32"/>
          <w:sz w:val="32"/>
          <w:szCs w:val="32"/>
          <w:highlight w:val="white"/>
        </w:rPr>
        <w:t xml:space="preserve">3. </w:t>
      </w:r>
      <w:r>
        <w:rPr>
          <w:rFonts w:hint="eastAsia" w:ascii="仿宋_GB2312" w:hAnsi="仿宋_GB2312" w:eastAsia="仿宋_GB2312" w:cs="仿宋_GB2312"/>
          <w:snapToGrid w:val="0"/>
          <w:kern w:val="32"/>
          <w:sz w:val="32"/>
          <w:szCs w:val="32"/>
          <w:highlight w:val="white"/>
        </w:rPr>
        <w:t>完成立项审批手续，取得建筑施工图审查并取得合格证书</w:t>
      </w:r>
      <w:r>
        <w:rPr>
          <w:rFonts w:hint="eastAsia" w:ascii="仿宋_GB2312" w:hAnsi="仿宋_GB2312" w:eastAsia="仿宋_GB2312" w:cs="仿宋_GB2312"/>
          <w:kern w:val="32"/>
          <w:sz w:val="32"/>
          <w:szCs w:val="32"/>
          <w:highlight w:val="white"/>
        </w:rPr>
        <w:t>，</w:t>
      </w:r>
      <w:r>
        <w:rPr>
          <w:rFonts w:hint="eastAsia" w:ascii="仿宋_GB2312" w:hAnsi="仿宋_GB2312" w:eastAsia="仿宋_GB2312" w:cs="仿宋_GB2312"/>
          <w:snapToGrid w:val="0"/>
          <w:kern w:val="32"/>
          <w:sz w:val="32"/>
          <w:szCs w:val="32"/>
          <w:highlight w:val="white"/>
        </w:rPr>
        <w:t>实施周期原则上不超过2年。</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（二）申报单位</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项目建设单位或项目建设单位与技术支撑单位联合申报。</w:t>
      </w:r>
    </w:p>
    <w:p>
      <w:pPr>
        <w:spacing w:line="570" w:lineRule="exact"/>
        <w:ind w:firstLine="640" w:firstLineChars="200"/>
        <w:rPr>
          <w:rFonts w:hint="eastAsia" w:ascii="黑体" w:hAnsi="黑体" w:eastAsia="黑体" w:cs="黑体"/>
          <w:kern w:val="0"/>
          <w:sz w:val="32"/>
          <w:szCs w:val="32"/>
          <w:highlight w:val="white"/>
        </w:rPr>
      </w:pPr>
      <w:r>
        <w:rPr>
          <w:rFonts w:hint="eastAsia" w:ascii="黑体" w:hAnsi="黑体" w:eastAsia="黑体" w:cs="黑体"/>
          <w:kern w:val="0"/>
          <w:sz w:val="32"/>
          <w:szCs w:val="32"/>
          <w:highlight w:val="white"/>
        </w:rPr>
        <w:t>四、既有建筑节能改造项目</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（一）申报条件</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1</w:t>
      </w:r>
      <w:r>
        <w:rPr>
          <w:rFonts w:hint="eastAsia" w:ascii="仿宋_GB2312" w:hAnsi="仿宋_GB2312" w:eastAsia="仿宋_GB2312" w:cs="仿宋_GB2312"/>
          <w:kern w:val="32"/>
          <w:sz w:val="32"/>
          <w:szCs w:val="32"/>
          <w:highlight w:val="white"/>
        </w:rPr>
        <w:t>.</w:t>
      </w:r>
      <w:r>
        <w:rPr>
          <w:rFonts w:hint="eastAsia" w:ascii="仿宋_GB2312" w:hAnsi="仿宋_GB2312" w:eastAsia="仿宋_GB2312" w:cs="仿宋_GB2312"/>
          <w:snapToGrid w:val="0"/>
          <w:kern w:val="32"/>
          <w:sz w:val="32"/>
          <w:szCs w:val="32"/>
          <w:highlight w:val="white"/>
        </w:rPr>
        <w:t>公共建筑面积不低于5000㎡、居住建筑面积不低于2万㎡。</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2</w:t>
      </w:r>
      <w:r>
        <w:rPr>
          <w:rFonts w:hint="eastAsia" w:ascii="仿宋_GB2312" w:hAnsi="仿宋_GB2312" w:eastAsia="仿宋_GB2312" w:cs="仿宋_GB2312"/>
          <w:kern w:val="32"/>
          <w:sz w:val="32"/>
          <w:szCs w:val="32"/>
          <w:highlight w:val="white"/>
        </w:rPr>
        <w:t>.</w:t>
      </w:r>
      <w:r>
        <w:rPr>
          <w:rFonts w:hint="eastAsia" w:ascii="仿宋_GB2312" w:hAnsi="仿宋_GB2312" w:eastAsia="仿宋_GB2312" w:cs="仿宋_GB2312"/>
          <w:snapToGrid w:val="0"/>
          <w:kern w:val="32"/>
          <w:sz w:val="32"/>
          <w:szCs w:val="32"/>
          <w:highlight w:val="white"/>
        </w:rPr>
        <w:t>综合采用围护结构改造、用能设备和系统改造、智能运行控制、可再生能源应用等技术实施节能、绿色化改造，改造后年节约标煤不低于100吨、综合节能率不低于15%，并经第三方机构审核确认。鼓励按绿色建筑要求进行改造并取得星级标识。</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3</w:t>
      </w:r>
      <w:r>
        <w:rPr>
          <w:rFonts w:hint="eastAsia" w:ascii="仿宋_GB2312" w:hAnsi="仿宋_GB2312" w:eastAsia="仿宋_GB2312" w:cs="仿宋_GB2312"/>
          <w:kern w:val="32"/>
          <w:sz w:val="32"/>
          <w:szCs w:val="32"/>
          <w:highlight w:val="white"/>
        </w:rPr>
        <w:t>.</w:t>
      </w:r>
      <w:r>
        <w:rPr>
          <w:rFonts w:hint="eastAsia" w:ascii="仿宋_GB2312" w:hAnsi="仿宋_GB2312" w:eastAsia="仿宋_GB2312" w:cs="仿宋_GB2312"/>
          <w:snapToGrid w:val="0"/>
          <w:kern w:val="32"/>
          <w:sz w:val="32"/>
          <w:szCs w:val="32"/>
          <w:highlight w:val="white"/>
        </w:rPr>
        <w:t>优先支持对超出使用寿命、能效低、存在安全隐患且无维修价值的热泵机组、散热器、冷水机组、外窗（幕墙）、外墙（屋顶）保温、照明设备等进行更新的项目，更新后的设备和部品部件等性能系数应不低于《建筑节能与可再生能源利用通用规范》GB55015等相关标准规范要求。</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4.安装建筑能耗数据分项计量装置，改造后的监测数据实时传输至市建筑能耗监测平台。</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（二）申报单位</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1. 项目建设单位或项目建设单位与技术支撑单位联合申报。</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napToGrid w:val="0"/>
          <w:kern w:val="32"/>
          <w:sz w:val="32"/>
          <w:szCs w:val="32"/>
          <w:highlight w:val="white"/>
        </w:rPr>
        <w:t>2. 采用合同能源管理方式的，可由经项目权属/使用单位认可的合同能源管理单位单独申报。</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黑体" w:hAnsi="黑体" w:eastAsia="黑体" w:cs="黑体"/>
          <w:kern w:val="32"/>
          <w:sz w:val="32"/>
          <w:szCs w:val="32"/>
          <w:highlight w:val="white"/>
        </w:rPr>
      </w:pPr>
      <w:r>
        <w:rPr>
          <w:rFonts w:hint="eastAsia" w:ascii="黑体" w:hAnsi="黑体" w:eastAsia="黑体" w:cs="黑体"/>
          <w:kern w:val="32"/>
          <w:sz w:val="32"/>
          <w:szCs w:val="32"/>
          <w:highlight w:val="white"/>
        </w:rPr>
        <w:t>五、建筑节能科技支撑项目</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（一）申报条件</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z w:val="32"/>
          <w:szCs w:val="32"/>
          <w:highlight w:val="white"/>
          <w:lang w:bidi="ar"/>
        </w:rPr>
      </w:pPr>
      <w:r>
        <w:rPr>
          <w:rFonts w:hint="eastAsia" w:ascii="仿宋_GB2312" w:hAnsi="仿宋_GB2312" w:eastAsia="仿宋_GB2312" w:cs="仿宋_GB2312"/>
          <w:sz w:val="32"/>
          <w:szCs w:val="32"/>
          <w:highlight w:val="white"/>
          <w:lang w:bidi="ar"/>
        </w:rPr>
        <w:t>1</w:t>
      </w:r>
      <w:r>
        <w:rPr>
          <w:rFonts w:hint="eastAsia" w:ascii="仿宋_GB2312" w:eastAsia="仿宋_GB2312"/>
          <w:b w:val="0"/>
          <w:bCs w:val="0"/>
          <w:sz w:val="32"/>
          <w:szCs w:val="32"/>
        </w:rPr>
        <w:t>．</w:t>
      </w:r>
      <w:r>
        <w:rPr>
          <w:rFonts w:hint="eastAsia" w:ascii="仿宋_GB2312" w:hAnsi="仿宋_GB2312" w:eastAsia="仿宋_GB2312" w:cs="仿宋_GB2312"/>
          <w:sz w:val="32"/>
          <w:szCs w:val="32"/>
          <w:highlight w:val="white"/>
          <w:lang w:bidi="ar"/>
        </w:rPr>
        <w:t>围绕全市住房城乡建设系统重点工作，聚焦城乡建设领域碳达峰碳中和研究、绿色低碳建筑、智能建造与新型建筑工业化、城市更新与历史文化传承、高品质住宅与人居环境品质提升、建筑垃圾源头减量与末端资源化利用等城乡建设领域热点和难点问题，自拟题目或方向申报。</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z w:val="32"/>
          <w:szCs w:val="32"/>
          <w:highlight w:val="white"/>
          <w:lang w:bidi="ar"/>
        </w:rPr>
      </w:pPr>
      <w:r>
        <w:rPr>
          <w:rFonts w:hint="eastAsia" w:ascii="仿宋_GB2312" w:hAnsi="仿宋_GB2312" w:eastAsia="仿宋_GB2312" w:cs="仿宋_GB2312"/>
          <w:sz w:val="32"/>
          <w:szCs w:val="32"/>
          <w:highlight w:val="white"/>
          <w:lang w:bidi="ar"/>
        </w:rPr>
        <w:t>2</w:t>
      </w:r>
      <w:r>
        <w:rPr>
          <w:rFonts w:hint="eastAsia" w:ascii="仿宋_GB2312" w:eastAsia="仿宋_GB2312"/>
          <w:b w:val="0"/>
          <w:bCs w:val="0"/>
          <w:sz w:val="32"/>
          <w:szCs w:val="32"/>
        </w:rPr>
        <w:t>．</w:t>
      </w:r>
      <w:r>
        <w:rPr>
          <w:rFonts w:hint="eastAsia" w:ascii="仿宋_GB2312" w:hAnsi="仿宋_GB2312" w:eastAsia="仿宋_GB2312" w:cs="仿宋_GB2312"/>
          <w:sz w:val="32"/>
          <w:szCs w:val="32"/>
          <w:highlight w:val="white"/>
          <w:lang w:bidi="ar"/>
        </w:rPr>
        <w:t>申报项目目标明确，研究方法和技术路线先进可行，应具有较好的市场前景和显著的经济、社会、环境效益，有利于技术升级和产业结构调整。纯基础理论研究项目原则上不予立项。</w:t>
      </w:r>
    </w:p>
    <w:p>
      <w:pPr>
        <w:keepNext w:val="0"/>
        <w:keepLines w:val="0"/>
        <w:pageBreakBefore w:val="0"/>
        <w:widowControl w:val="0"/>
        <w:kinsoku/>
        <w:wordWrap/>
        <w:overflowPunct/>
        <w:topLinePunct w:val="0"/>
        <w:bidi w:val="0"/>
        <w:adjustRightInd/>
        <w:spacing w:line="576" w:lineRule="exact"/>
        <w:ind w:firstLine="640" w:firstLineChars="200"/>
        <w:textAlignment w:val="auto"/>
        <w:rPr>
          <w:rFonts w:hint="eastAsia" w:ascii="仿宋_GB2312" w:hAnsi="仿宋_GB2312" w:eastAsia="仿宋_GB2312" w:cs="仿宋_GB2312"/>
          <w:sz w:val="32"/>
          <w:szCs w:val="32"/>
          <w:highlight w:val="white"/>
        </w:rPr>
      </w:pPr>
      <w:r>
        <w:rPr>
          <w:rFonts w:hint="eastAsia" w:ascii="仿宋_GB2312" w:hAnsi="仿宋_GB2312" w:eastAsia="仿宋_GB2312" w:cs="仿宋_GB2312"/>
          <w:sz w:val="32"/>
          <w:szCs w:val="32"/>
          <w:highlight w:val="white"/>
          <w:lang w:bidi="ar"/>
        </w:rPr>
        <w:t>3</w:t>
      </w:r>
      <w:r>
        <w:rPr>
          <w:rFonts w:hint="eastAsia" w:ascii="仿宋_GB2312" w:eastAsia="仿宋_GB2312"/>
          <w:b w:val="0"/>
          <w:bCs w:val="0"/>
          <w:sz w:val="32"/>
          <w:szCs w:val="32"/>
        </w:rPr>
        <w:t>．</w:t>
      </w:r>
      <w:r>
        <w:rPr>
          <w:rFonts w:hint="eastAsia" w:ascii="仿宋_GB2312" w:hAnsi="仿宋_GB2312" w:eastAsia="仿宋_GB2312" w:cs="仿宋_GB2312"/>
          <w:sz w:val="32"/>
          <w:szCs w:val="32"/>
          <w:highlight w:val="white"/>
          <w:lang w:bidi="ar"/>
        </w:rPr>
        <w:t>申报项目应已开展大量前期研究，须在自公布立项之日起两年内完成，分别通过验收结题和送审稿审查。</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楷体_GB2312" w:hAnsi="楷体_GB2312" w:eastAsia="楷体_GB2312" w:cs="楷体_GB2312"/>
          <w:b w:val="0"/>
          <w:bCs/>
          <w:kern w:val="32"/>
          <w:sz w:val="32"/>
          <w:szCs w:val="32"/>
          <w:highlight w:val="white"/>
          <w:lang w:eastAsia="zh-CN"/>
        </w:rPr>
      </w:pPr>
      <w:r>
        <w:rPr>
          <w:rFonts w:hint="eastAsia" w:ascii="楷体_GB2312" w:hAnsi="楷体_GB2312" w:eastAsia="楷体_GB2312" w:cs="楷体_GB2312"/>
          <w:b w:val="0"/>
          <w:bCs/>
          <w:kern w:val="32"/>
          <w:sz w:val="32"/>
          <w:szCs w:val="32"/>
          <w:highlight w:val="white"/>
        </w:rPr>
        <w:t>（二）申报单位</w:t>
      </w:r>
      <w:r>
        <w:rPr>
          <w:rFonts w:hint="eastAsia" w:ascii="楷体_GB2312" w:hAnsi="楷体_GB2312" w:eastAsia="楷体_GB2312" w:cs="楷体_GB2312"/>
          <w:b w:val="0"/>
          <w:bCs/>
          <w:kern w:val="32"/>
          <w:sz w:val="32"/>
          <w:szCs w:val="32"/>
          <w:highlight w:val="white"/>
          <w:lang w:eastAsia="zh-CN"/>
        </w:rPr>
        <w:t>。</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z w:val="32"/>
          <w:szCs w:val="32"/>
          <w:highlight w:val="white"/>
          <w:lang w:bidi="ar"/>
        </w:rPr>
      </w:pPr>
      <w:r>
        <w:rPr>
          <w:rFonts w:hint="eastAsia" w:ascii="仿宋_GB2312" w:hAnsi="仿宋_GB2312" w:eastAsia="仿宋_GB2312" w:cs="仿宋_GB2312"/>
          <w:sz w:val="32"/>
          <w:szCs w:val="32"/>
          <w:highlight w:val="white"/>
          <w:lang w:bidi="ar"/>
        </w:rPr>
        <w:t>1</w:t>
      </w:r>
      <w:r>
        <w:rPr>
          <w:rFonts w:hint="eastAsia" w:ascii="仿宋_GB2312" w:eastAsia="仿宋_GB2312"/>
          <w:b w:val="0"/>
          <w:bCs w:val="0"/>
          <w:sz w:val="32"/>
          <w:szCs w:val="32"/>
        </w:rPr>
        <w:t>．</w:t>
      </w:r>
      <w:r>
        <w:rPr>
          <w:rFonts w:hint="eastAsia" w:ascii="仿宋_GB2312" w:hAnsi="仿宋_GB2312" w:eastAsia="仿宋_GB2312" w:cs="仿宋_GB2312"/>
          <w:sz w:val="32"/>
          <w:szCs w:val="32"/>
          <w:highlight w:val="white"/>
          <w:lang w:bidi="ar"/>
        </w:rPr>
        <w:t>申报单位应具有独立法人资格，具备相应的研究基础、技术力量和科研条件，优先鼓励“产学研用”相结合开展合作研究。</w:t>
      </w:r>
    </w:p>
    <w:p>
      <w:pPr>
        <w:keepNext w:val="0"/>
        <w:keepLines w:val="0"/>
        <w:pageBreakBefore w:val="0"/>
        <w:widowControl w:val="0"/>
        <w:kinsoku/>
        <w:wordWrap/>
        <w:overflowPunct/>
        <w:topLinePunct w:val="0"/>
        <w:autoSpaceDE w:val="0"/>
        <w:autoSpaceDN w:val="0"/>
        <w:bidi w:val="0"/>
        <w:adjustRightInd/>
        <w:snapToGrid w:val="0"/>
        <w:spacing w:line="576" w:lineRule="exact"/>
        <w:ind w:firstLine="624"/>
        <w:textAlignment w:val="auto"/>
        <w:rPr>
          <w:rFonts w:hint="eastAsia" w:ascii="仿宋_GB2312" w:hAnsi="仿宋_GB2312" w:eastAsia="仿宋_GB2312" w:cs="仿宋_GB2312"/>
          <w:snapToGrid w:val="0"/>
          <w:kern w:val="32"/>
          <w:sz w:val="32"/>
          <w:szCs w:val="32"/>
          <w:highlight w:val="white"/>
        </w:rPr>
      </w:pPr>
      <w:r>
        <w:rPr>
          <w:rFonts w:hint="eastAsia" w:ascii="仿宋_GB2312" w:hAnsi="仿宋_GB2312" w:eastAsia="仿宋_GB2312" w:cs="仿宋_GB2312"/>
          <w:sz w:val="32"/>
          <w:szCs w:val="32"/>
          <w:highlight w:val="white"/>
          <w:lang w:bidi="ar"/>
        </w:rPr>
        <w:t>2</w:t>
      </w:r>
      <w:r>
        <w:rPr>
          <w:rFonts w:hint="eastAsia" w:ascii="仿宋_GB2312" w:eastAsia="仿宋_GB2312"/>
          <w:b w:val="0"/>
          <w:bCs w:val="0"/>
          <w:sz w:val="32"/>
          <w:szCs w:val="32"/>
        </w:rPr>
        <w:t>．</w:t>
      </w:r>
      <w:r>
        <w:rPr>
          <w:rFonts w:hint="eastAsia" w:ascii="仿宋_GB2312" w:hAnsi="仿宋_GB2312" w:eastAsia="仿宋_GB2312" w:cs="仿宋_GB2312"/>
          <w:sz w:val="32"/>
          <w:szCs w:val="32"/>
          <w:highlight w:val="white"/>
          <w:lang w:bidi="ar"/>
        </w:rPr>
        <w:t>申报团队人员结构合理，项目负责人原则上应是单位的业务骨干。同一负责人限报一项科技支撑项目，已承担市级建设系统科技支撑项目的主要负责人，未在规定时限内结题的，不得再次申报或参与申报。项目负责人须为项目申报单位在职人员（与申报单位签订劳动合同），并确保在职期间能完成项目任务，鼓励青年科技人才在科技项目中“挑大梁”。</w:t>
      </w:r>
    </w:p>
    <w:p>
      <w:pPr>
        <w:autoSpaceDE w:val="0"/>
        <w:autoSpaceDN w:val="0"/>
        <w:snapToGrid w:val="0"/>
        <w:spacing w:line="570" w:lineRule="atLeast"/>
        <w:ind w:firstLine="624"/>
        <w:rPr>
          <w:rFonts w:hint="default" w:ascii="Times New Roman" w:hAnsi="Times New Roman" w:cs="Times New Roman"/>
          <w:snapToGrid w:val="0"/>
          <w:kern w:val="32"/>
          <w:highlight w:val="white"/>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3B3089"/>
    <w:rsid w:val="393B3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2026-10-08T03:16:00Z</dcterms:created>
  <dc:creator>win10</dc:creator>
  <cp:lastModifiedBy>win10</cp:lastModifiedBy>
  <dcterms:modified xsi:type="dcterms:W3CDTF">2026-10-08T03:16:30Z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F9FD6D00C1DB47DC8CA97335CD7450D2_11</vt:lpwstr>
  </property>
</Properties>
</file>