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E" w:rsidRPr="0002386E" w:rsidRDefault="0002386E" w:rsidP="0002386E">
      <w:pPr>
        <w:spacing w:line="600" w:lineRule="exact"/>
        <w:jc w:val="center"/>
        <w:rPr>
          <w:rFonts w:ascii="方正小标宋_GBK" w:eastAsia="方正小标宋_GBK" w:hAnsi="宋体" w:cs="Times New Roman" w:hint="eastAsia"/>
          <w:sz w:val="36"/>
          <w:szCs w:val="36"/>
        </w:rPr>
      </w:pPr>
      <w:r w:rsidRPr="0002386E">
        <w:rPr>
          <w:rFonts w:ascii="方正小标宋_GBK" w:eastAsia="方正小标宋_GBK" w:hAnsi="宋体" w:cs="Times New Roman" w:hint="eastAsia"/>
          <w:sz w:val="36"/>
          <w:szCs w:val="36"/>
        </w:rPr>
        <w:t>吴中区“苏地2005-B-54（2）号地块项目 （太湖论坛城2号地块配套酒店二期）”初步设计抗震设防审查意见</w:t>
      </w:r>
    </w:p>
    <w:p w:rsidR="0002386E" w:rsidRPr="0002386E" w:rsidRDefault="0002386E" w:rsidP="0002386E">
      <w:pPr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sz w:val="32"/>
          <w:szCs w:val="32"/>
        </w:rPr>
      </w:pPr>
    </w:p>
    <w:p w:rsidR="0002386E" w:rsidRPr="0002386E" w:rsidRDefault="0002386E" w:rsidP="0002386E">
      <w:pPr>
        <w:spacing w:line="4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02386E">
        <w:rPr>
          <w:rFonts w:ascii="仿宋_GB2312" w:eastAsia="仿宋_GB2312" w:hAnsi="仿宋" w:cs="Times New Roman" w:hint="eastAsia"/>
          <w:sz w:val="32"/>
          <w:szCs w:val="32"/>
        </w:rPr>
        <w:t>受苏州市住房和城乡建设局委托，由部分专家组成的审查小组，对</w:t>
      </w:r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苏州花万里酒店有限公司</w:t>
      </w:r>
      <w:r w:rsidRPr="0002386E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苏地2005-B-54（2）号地块项目 （太湖论坛城2号地块配套酒店二期）</w:t>
      </w:r>
      <w:r w:rsidRPr="0002386E">
        <w:rPr>
          <w:rFonts w:ascii="仿宋_GB2312" w:eastAsia="仿宋_GB2312" w:hAnsi="仿宋" w:cs="Times New Roman" w:hint="eastAsia"/>
          <w:spacing w:val="-20"/>
          <w:sz w:val="32"/>
          <w:szCs w:val="32"/>
        </w:rPr>
        <w:t>”</w:t>
      </w:r>
      <w:r w:rsidRPr="0002386E">
        <w:rPr>
          <w:rFonts w:ascii="仿宋_GB2312" w:eastAsia="仿宋_GB2312" w:hAnsi="仿宋" w:cs="Times New Roman" w:hint="eastAsia"/>
          <w:sz w:val="32"/>
          <w:szCs w:val="32"/>
        </w:rPr>
        <w:t>工程进行了抗震设防审查，审查意见如下：</w:t>
      </w:r>
    </w:p>
    <w:p w:rsidR="0002386E" w:rsidRPr="0002386E" w:rsidRDefault="0002386E" w:rsidP="0002386E">
      <w:pPr>
        <w:spacing w:line="460" w:lineRule="exact"/>
        <w:ind w:firstLineChars="200" w:firstLine="656"/>
        <w:jc w:val="left"/>
        <w:rPr>
          <w:rFonts w:ascii="仿宋_GB2312" w:eastAsia="仿宋_GB2312" w:hAnsi="仿宋" w:cs="Times New Roman" w:hint="eastAsia"/>
          <w:spacing w:val="4"/>
          <w:sz w:val="32"/>
          <w:szCs w:val="20"/>
        </w:rPr>
      </w:pPr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1.本工程5#6#楼总长度超出规范要求设置伸缩缝的长度约40%，</w:t>
      </w:r>
      <w:proofErr w:type="gramStart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建议长</w:t>
      </w:r>
      <w:proofErr w:type="gramEnd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向楼板拉通筋配筋率进一步提高，同时应补充楼板温度应力计算，构件设计时也应考虑温度作用的影响。</w:t>
      </w:r>
    </w:p>
    <w:p w:rsidR="0002386E" w:rsidRPr="0002386E" w:rsidRDefault="0002386E" w:rsidP="0002386E">
      <w:pPr>
        <w:spacing w:line="460" w:lineRule="exact"/>
        <w:ind w:firstLineChars="200" w:firstLine="656"/>
        <w:jc w:val="left"/>
        <w:rPr>
          <w:rFonts w:ascii="仿宋_GB2312" w:eastAsia="仿宋_GB2312" w:hAnsi="仿宋" w:cs="Times New Roman" w:hint="eastAsia"/>
          <w:spacing w:val="4"/>
          <w:sz w:val="32"/>
          <w:szCs w:val="20"/>
        </w:rPr>
      </w:pPr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2.各单体标准层南侧阳台楼板应</w:t>
      </w:r>
      <w:proofErr w:type="gramStart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补充按</w:t>
      </w:r>
      <w:proofErr w:type="gramEnd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悬挑板进行包络设计，阳台</w:t>
      </w:r>
      <w:proofErr w:type="gramStart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侧面梁</w:t>
      </w:r>
      <w:proofErr w:type="gramEnd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按两端铰接进行配筋包络设计，阳台北侧A轴框架</w:t>
      </w:r>
      <w:proofErr w:type="gramStart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梁加强抗扭</w:t>
      </w:r>
      <w:proofErr w:type="gramEnd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配筋构造。</w:t>
      </w:r>
    </w:p>
    <w:p w:rsidR="0002386E" w:rsidRPr="0002386E" w:rsidRDefault="0002386E" w:rsidP="0002386E">
      <w:pPr>
        <w:spacing w:line="460" w:lineRule="exact"/>
        <w:ind w:firstLineChars="200" w:firstLine="656"/>
        <w:jc w:val="left"/>
        <w:rPr>
          <w:rFonts w:ascii="仿宋_GB2312" w:eastAsia="仿宋_GB2312" w:hAnsi="仿宋" w:cs="Times New Roman" w:hint="eastAsia"/>
          <w:spacing w:val="4"/>
          <w:sz w:val="32"/>
          <w:szCs w:val="20"/>
        </w:rPr>
      </w:pPr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3.各单体北侧楼梯间突出于主体且未能围合成筒，应补充去除“虚刚”的模型进行包络设计并加强与主体结构的连接；8#、10#楼标准层平面</w:t>
      </w:r>
      <w:proofErr w:type="gramStart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北侧楼</w:t>
      </w:r>
      <w:proofErr w:type="gramEnd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电梯间楼板应采取构造加强措施。</w:t>
      </w:r>
    </w:p>
    <w:p w:rsidR="0002386E" w:rsidRPr="0002386E" w:rsidRDefault="0002386E" w:rsidP="0002386E">
      <w:pPr>
        <w:spacing w:line="460" w:lineRule="exact"/>
        <w:ind w:firstLineChars="200" w:firstLine="656"/>
        <w:jc w:val="left"/>
        <w:rPr>
          <w:rFonts w:ascii="仿宋_GB2312" w:eastAsia="仿宋_GB2312" w:hAnsi="宋体" w:cs="Times New Roman" w:hint="eastAsia"/>
          <w:sz w:val="24"/>
          <w:szCs w:val="20"/>
        </w:rPr>
      </w:pPr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4.8#楼首层为局部大空间建议强制指定为薄弱层、10#楼二层F</w:t>
      </w:r>
      <w:proofErr w:type="gramStart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轴处单跨</w:t>
      </w:r>
      <w:proofErr w:type="gramEnd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框架建议抗震等级提高一级；各单体计算书中均应补充角柱定义并</w:t>
      </w:r>
      <w:proofErr w:type="gramStart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补充按</w:t>
      </w:r>
      <w:proofErr w:type="gramEnd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实际坡屋面标高的模型进行包络设计；底部加强区应定义完整；剪力墙结构中的少量框架</w:t>
      </w:r>
      <w:proofErr w:type="gramStart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柱建议</w:t>
      </w:r>
      <w:proofErr w:type="gramEnd"/>
      <w:r w:rsidRPr="0002386E">
        <w:rPr>
          <w:rFonts w:ascii="仿宋_GB2312" w:eastAsia="仿宋_GB2312" w:hAnsi="仿宋" w:cs="Times New Roman" w:hint="eastAsia"/>
          <w:spacing w:val="4"/>
          <w:sz w:val="32"/>
          <w:szCs w:val="20"/>
        </w:rPr>
        <w:t>补充剪力调整。</w:t>
      </w:r>
    </w:p>
    <w:p w:rsidR="0002386E" w:rsidRPr="0002386E" w:rsidRDefault="0002386E" w:rsidP="0002386E">
      <w:pPr>
        <w:spacing w:line="4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</w:p>
    <w:p w:rsidR="0002386E" w:rsidRPr="0002386E" w:rsidRDefault="0002386E" w:rsidP="0002386E">
      <w:pPr>
        <w:spacing w:line="4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02386E">
        <w:rPr>
          <w:rFonts w:ascii="仿宋_GB2312" w:eastAsia="仿宋_GB2312" w:hAnsi="仿宋" w:cs="Times New Roman" w:hint="eastAsia"/>
          <w:sz w:val="32"/>
          <w:szCs w:val="32"/>
        </w:rPr>
        <w:t>结论：经上述修改后，可基本通过初步设计抗震设防专项审查。上述问题的修改与完善，可在施工图审查阶段复核。</w:t>
      </w:r>
    </w:p>
    <w:p w:rsidR="0002386E" w:rsidRPr="0002386E" w:rsidRDefault="0002386E" w:rsidP="0002386E">
      <w:pPr>
        <w:spacing w:line="460" w:lineRule="exact"/>
        <w:ind w:firstLineChars="200" w:firstLine="640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02386E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Pr="0002386E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</w:t>
      </w:r>
    </w:p>
    <w:p w:rsidR="0002386E" w:rsidRPr="0002386E" w:rsidRDefault="0002386E" w:rsidP="0002386E">
      <w:pPr>
        <w:spacing w:line="460" w:lineRule="exact"/>
        <w:ind w:firstLineChars="1450" w:firstLine="4176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02386E">
        <w:rPr>
          <w:rFonts w:ascii="仿宋_GB2312" w:eastAsia="仿宋_GB2312" w:hAnsi="仿宋" w:cs="Times New Roman" w:hint="eastAsia"/>
          <w:spacing w:val="-16"/>
          <w:sz w:val="32"/>
          <w:szCs w:val="32"/>
        </w:rPr>
        <w:t>专家组：江淼、刘晶、顾琰斌</w:t>
      </w:r>
    </w:p>
    <w:p w:rsidR="0002386E" w:rsidRPr="0002386E" w:rsidRDefault="0002386E" w:rsidP="0002386E">
      <w:pPr>
        <w:spacing w:line="460" w:lineRule="exact"/>
        <w:ind w:firstLineChars="200" w:firstLine="576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02386E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             审图机构：江红军</w:t>
      </w:r>
    </w:p>
    <w:p w:rsidR="0002386E" w:rsidRPr="0002386E" w:rsidRDefault="0002386E" w:rsidP="0002386E">
      <w:pPr>
        <w:spacing w:line="460" w:lineRule="exact"/>
        <w:rPr>
          <w:rFonts w:ascii="宋体" w:eastAsia="宋体" w:hAnsi="宋体" w:cs="Times New Roman"/>
          <w:b/>
          <w:sz w:val="36"/>
          <w:szCs w:val="36"/>
        </w:rPr>
      </w:pPr>
      <w:r w:rsidRPr="0002386E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                       2022年5月7日</w:t>
      </w:r>
      <w:r w:rsidRPr="0002386E">
        <w:rPr>
          <w:rFonts w:ascii="仿宋" w:eastAsia="仿宋" w:hAnsi="仿宋" w:cs="Times New Roman" w:hint="eastAsia"/>
          <w:spacing w:val="-10"/>
          <w:sz w:val="32"/>
          <w:szCs w:val="32"/>
        </w:rPr>
        <w:t xml:space="preserve"> </w:t>
      </w:r>
    </w:p>
    <w:p w:rsidR="00C0256A" w:rsidRPr="0002386E" w:rsidRDefault="00C0256A">
      <w:bookmarkStart w:id="0" w:name="_GoBack"/>
      <w:bookmarkEnd w:id="0"/>
    </w:p>
    <w:sectPr w:rsidR="00C0256A" w:rsidRPr="0002386E" w:rsidSect="00F72385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1361" w:right="1361" w:bottom="1077" w:left="1701" w:header="851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02386E" w:rsidP="00F7238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07693" w:rsidRDefault="0002386E" w:rsidP="00F7238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02386E" w:rsidP="009F5286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－</w:t>
    </w:r>
    <w:r w:rsidRPr="00F72385">
      <w:rPr>
        <w:rStyle w:val="a5"/>
        <w:rFonts w:ascii="宋体" w:eastAsia="宋体" w:hAnsi="宋体"/>
        <w:sz w:val="24"/>
        <w:szCs w:val="24"/>
      </w:rPr>
      <w:fldChar w:fldCharType="begin"/>
    </w:r>
    <w:r w:rsidRPr="00F72385">
      <w:rPr>
        <w:rStyle w:val="a5"/>
        <w:rFonts w:ascii="宋体" w:eastAsia="宋体" w:hAnsi="宋体"/>
        <w:sz w:val="24"/>
        <w:szCs w:val="24"/>
      </w:rPr>
      <w:instrText xml:space="preserve">PAGE  </w:instrText>
    </w:r>
    <w:r w:rsidRPr="00F72385">
      <w:rPr>
        <w:rStyle w:val="a5"/>
        <w:rFonts w:ascii="宋体" w:eastAsia="宋体" w:hAnsi="宋体"/>
        <w:sz w:val="24"/>
        <w:szCs w:val="24"/>
      </w:rPr>
      <w:fldChar w:fldCharType="separate"/>
    </w:r>
    <w:r>
      <w:rPr>
        <w:rStyle w:val="a5"/>
        <w:rFonts w:ascii="宋体" w:eastAsia="宋体" w:hAnsi="宋体"/>
        <w:noProof/>
        <w:sz w:val="24"/>
        <w:szCs w:val="24"/>
      </w:rPr>
      <w:t>1</w:t>
    </w:r>
    <w:r w:rsidRPr="00F72385">
      <w:rPr>
        <w:rStyle w:val="a5"/>
        <w:rFonts w:ascii="宋体" w:eastAsia="宋体" w:hAnsi="宋体"/>
        <w:sz w:val="24"/>
        <w:szCs w:val="24"/>
      </w:rPr>
      <w:fldChar w:fldCharType="end"/>
    </w:r>
    <w:r>
      <w:rPr>
        <w:rStyle w:val="a5"/>
        <w:rFonts w:hint="eastAsia"/>
      </w:rPr>
      <w:t>－</w:t>
    </w:r>
  </w:p>
  <w:p w:rsidR="00907693" w:rsidRDefault="0002386E" w:rsidP="00F72385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02386E" w:rsidP="00CD793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02386E" w:rsidP="00CD79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6E"/>
    <w:rsid w:val="0002386E"/>
    <w:rsid w:val="00C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2386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386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86E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02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2386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386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86E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02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2022-05-23T02:30:00Z</dcterms:created>
  <dcterms:modified xsi:type="dcterms:W3CDTF">2022-05-23T02:30:00Z</dcterms:modified>
</cp:coreProperties>
</file>