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ind w:left="0" w:leftChars="0" w:firstLine="0" w:firstLineChars="0"/>
        <w:jc w:val="center"/>
        <w:outlineLvl w:val="9"/>
        <w:rPr>
          <w:rFonts w:hint="eastAsia" w:ascii="黑体" w:hAnsi="黑体" w:eastAsia="黑体" w:cs="黑体"/>
          <w:b/>
          <w:bCs/>
          <w:color w:val="auto"/>
          <w:kern w:val="0"/>
          <w:sz w:val="44"/>
          <w:szCs w:val="44"/>
          <w:lang w:val="en-US" w:eastAsia="zh-CN" w:bidi="ar"/>
        </w:rPr>
      </w:pPr>
      <w:bookmarkStart w:id="106" w:name="_GoBack"/>
      <w:bookmarkEnd w:id="106"/>
      <w:r>
        <w:rPr>
          <w:rFonts w:hint="eastAsia" w:ascii="黑体" w:hAnsi="黑体" w:eastAsia="黑体" w:cs="黑体"/>
          <w:b/>
          <w:bCs/>
          <w:color w:val="auto"/>
          <w:kern w:val="0"/>
          <w:sz w:val="44"/>
          <w:szCs w:val="44"/>
          <w:lang w:val="en-US" w:eastAsia="zh-CN" w:bidi="ar"/>
        </w:rPr>
        <w:t>民用建筑安全性微鉴定技术导则</w:t>
      </w:r>
    </w:p>
    <w:p>
      <w:pPr>
        <w:keepNext w:val="0"/>
        <w:keepLines w:val="0"/>
        <w:widowControl/>
        <w:suppressLineNumbers w:val="0"/>
        <w:ind w:left="0" w:leftChars="0" w:firstLine="0" w:firstLineChars="0"/>
        <w:jc w:val="center"/>
        <w:outlineLvl w:val="9"/>
        <w:rPr>
          <w:rFonts w:hint="eastAsia" w:ascii="宋体" w:hAnsi="宋体" w:cs="宋体"/>
          <w:color w:val="auto"/>
          <w:kern w:val="0"/>
          <w:sz w:val="32"/>
          <w:szCs w:val="32"/>
          <w:lang w:val="en-US" w:eastAsia="zh-CN" w:bidi="ar"/>
        </w:rPr>
      </w:pPr>
      <w:r>
        <w:rPr>
          <w:rFonts w:hint="eastAsia" w:ascii="黑体" w:hAnsi="黑体" w:eastAsia="黑体" w:cs="黑体"/>
          <w:b/>
          <w:bCs/>
          <w:color w:val="auto"/>
          <w:kern w:val="0"/>
          <w:sz w:val="44"/>
          <w:szCs w:val="44"/>
          <w:lang w:val="en-US" w:eastAsia="zh-CN" w:bidi="ar"/>
        </w:rPr>
        <w:t>（征求意见稿）</w:t>
      </w:r>
    </w:p>
    <w:p>
      <w:pPr>
        <w:keepNext w:val="0"/>
        <w:keepLines w:val="0"/>
        <w:widowControl/>
        <w:suppressLineNumbers w:val="0"/>
        <w:ind w:left="0" w:leftChars="0" w:firstLine="0" w:firstLineChars="0"/>
        <w:jc w:val="center"/>
        <w:outlineLvl w:val="9"/>
        <w:rPr>
          <w:rFonts w:hint="eastAsia" w:ascii="宋体" w:hAnsi="宋体" w:cs="宋体"/>
          <w:color w:val="auto"/>
          <w:kern w:val="0"/>
          <w:sz w:val="32"/>
          <w:szCs w:val="32"/>
          <w:lang w:val="en-US" w:eastAsia="zh-CN" w:bidi="ar"/>
        </w:rPr>
      </w:pPr>
    </w:p>
    <w:p>
      <w:pPr>
        <w:keepNext w:val="0"/>
        <w:keepLines w:val="0"/>
        <w:widowControl/>
        <w:suppressLineNumbers w:val="0"/>
        <w:ind w:left="0" w:leftChars="0" w:firstLine="0" w:firstLineChars="0"/>
        <w:jc w:val="center"/>
        <w:outlineLvl w:val="9"/>
        <w:rPr>
          <w:rFonts w:hint="eastAsia" w:ascii="宋体" w:hAnsi="宋体" w:cs="宋体"/>
          <w:color w:val="auto"/>
          <w:kern w:val="0"/>
          <w:sz w:val="32"/>
          <w:szCs w:val="32"/>
          <w:lang w:val="en-US" w:eastAsia="zh-CN" w:bidi="ar"/>
        </w:rPr>
      </w:pPr>
    </w:p>
    <w:p>
      <w:pPr>
        <w:keepNext w:val="0"/>
        <w:keepLines w:val="0"/>
        <w:widowControl/>
        <w:suppressLineNumbers w:val="0"/>
        <w:ind w:left="0" w:leftChars="0" w:firstLine="0" w:firstLineChars="0"/>
        <w:jc w:val="center"/>
        <w:outlineLvl w:val="9"/>
        <w:rPr>
          <w:rFonts w:hint="eastAsia" w:ascii="宋体" w:hAnsi="宋体" w:cs="宋体"/>
          <w:color w:val="auto"/>
          <w:kern w:val="0"/>
          <w:sz w:val="32"/>
          <w:szCs w:val="32"/>
          <w:lang w:val="en-US" w:eastAsia="zh-CN" w:bidi="ar"/>
        </w:rPr>
      </w:pPr>
    </w:p>
    <w:p>
      <w:pPr>
        <w:keepNext w:val="0"/>
        <w:keepLines w:val="0"/>
        <w:widowControl/>
        <w:suppressLineNumbers w:val="0"/>
        <w:ind w:left="0" w:leftChars="0" w:firstLine="0" w:firstLineChars="0"/>
        <w:jc w:val="center"/>
        <w:outlineLvl w:val="9"/>
        <w:rPr>
          <w:rFonts w:hint="eastAsia" w:ascii="宋体" w:hAnsi="宋体" w:cs="宋体"/>
          <w:color w:val="auto"/>
          <w:kern w:val="0"/>
          <w:sz w:val="32"/>
          <w:szCs w:val="32"/>
          <w:lang w:val="en-US" w:eastAsia="zh-CN" w:bidi="ar"/>
        </w:rPr>
      </w:pPr>
    </w:p>
    <w:p>
      <w:pPr>
        <w:keepNext w:val="0"/>
        <w:keepLines w:val="0"/>
        <w:widowControl/>
        <w:suppressLineNumbers w:val="0"/>
        <w:ind w:left="0" w:leftChars="0" w:firstLine="0" w:firstLineChars="0"/>
        <w:jc w:val="center"/>
        <w:outlineLvl w:val="9"/>
        <w:rPr>
          <w:rFonts w:hint="eastAsia" w:ascii="宋体" w:hAnsi="宋体" w:cs="宋体"/>
          <w:color w:val="auto"/>
          <w:kern w:val="0"/>
          <w:sz w:val="32"/>
          <w:szCs w:val="32"/>
          <w:lang w:val="en-US" w:eastAsia="zh-CN" w:bidi="ar"/>
        </w:rPr>
      </w:pPr>
    </w:p>
    <w:p>
      <w:pPr>
        <w:keepNext w:val="0"/>
        <w:keepLines w:val="0"/>
        <w:widowControl/>
        <w:suppressLineNumbers w:val="0"/>
        <w:ind w:left="0" w:leftChars="0" w:firstLine="0" w:firstLineChars="0"/>
        <w:jc w:val="center"/>
        <w:outlineLvl w:val="9"/>
        <w:rPr>
          <w:rFonts w:hint="eastAsia" w:ascii="宋体" w:hAnsi="宋体" w:cs="宋体"/>
          <w:color w:val="auto"/>
          <w:kern w:val="0"/>
          <w:sz w:val="32"/>
          <w:szCs w:val="32"/>
          <w:lang w:val="en-US" w:eastAsia="zh-CN" w:bidi="ar"/>
        </w:rPr>
      </w:pPr>
    </w:p>
    <w:p>
      <w:pPr>
        <w:keepNext w:val="0"/>
        <w:keepLines w:val="0"/>
        <w:widowControl/>
        <w:suppressLineNumbers w:val="0"/>
        <w:ind w:left="0" w:leftChars="0" w:firstLine="0" w:firstLineChars="0"/>
        <w:jc w:val="center"/>
        <w:outlineLvl w:val="9"/>
        <w:rPr>
          <w:rFonts w:hint="eastAsia" w:ascii="宋体" w:hAnsi="宋体" w:cs="宋体"/>
          <w:color w:val="auto"/>
          <w:kern w:val="0"/>
          <w:sz w:val="32"/>
          <w:szCs w:val="32"/>
          <w:lang w:val="en-US" w:eastAsia="zh-CN" w:bidi="ar"/>
        </w:rPr>
      </w:pPr>
    </w:p>
    <w:p>
      <w:pPr>
        <w:pStyle w:val="4"/>
        <w:spacing w:after="0" w:line="360" w:lineRule="auto"/>
        <w:jc w:val="center"/>
        <w:rPr>
          <w:rFonts w:hint="eastAsia" w:ascii="黑体" w:hAnsi="黑体" w:eastAsia="黑体" w:cs="华文楷体"/>
          <w:bCs/>
          <w:position w:val="-17"/>
          <w:sz w:val="30"/>
          <w:szCs w:val="30"/>
        </w:rPr>
      </w:pPr>
      <w:r>
        <w:rPr>
          <w:rFonts w:hint="eastAsia" w:ascii="黑体" w:hAnsi="黑体" w:eastAsia="黑体" w:cs="华文楷体"/>
          <w:bCs/>
          <w:position w:val="-17"/>
          <w:sz w:val="30"/>
          <w:szCs w:val="30"/>
        </w:rPr>
        <w:t>苏州市住房和城乡建设局</w:t>
      </w:r>
    </w:p>
    <w:p>
      <w:pPr>
        <w:pStyle w:val="4"/>
        <w:spacing w:after="0" w:line="360" w:lineRule="auto"/>
        <w:jc w:val="center"/>
        <w:rPr>
          <w:rFonts w:ascii="黑体" w:hAnsi="黑体" w:eastAsia="黑体" w:cs="华文楷体"/>
          <w:bCs/>
          <w:position w:val="-17"/>
          <w:sz w:val="30"/>
          <w:szCs w:val="30"/>
        </w:rPr>
      </w:pPr>
      <w:r>
        <w:rPr>
          <w:rFonts w:hint="eastAsia" w:ascii="黑体" w:hAnsi="黑体" w:eastAsia="黑体" w:cs="华文楷体"/>
          <w:bCs/>
          <w:position w:val="-17"/>
          <w:sz w:val="30"/>
          <w:szCs w:val="30"/>
        </w:rPr>
        <w:t>202</w:t>
      </w:r>
      <w:r>
        <w:rPr>
          <w:rFonts w:hint="eastAsia" w:ascii="黑体" w:hAnsi="黑体" w:eastAsia="黑体" w:cs="华文楷体"/>
          <w:bCs/>
          <w:position w:val="-17"/>
          <w:sz w:val="30"/>
          <w:szCs w:val="30"/>
          <w:lang w:val="en-US" w:eastAsia="zh-CN"/>
        </w:rPr>
        <w:t>6</w:t>
      </w:r>
      <w:r>
        <w:rPr>
          <w:rFonts w:hint="eastAsia" w:ascii="黑体" w:hAnsi="黑体" w:eastAsia="黑体" w:cs="华文楷体"/>
          <w:bCs/>
          <w:position w:val="-17"/>
          <w:sz w:val="30"/>
          <w:szCs w:val="30"/>
        </w:rPr>
        <w:t>年</w:t>
      </w:r>
      <w:r>
        <w:rPr>
          <w:rFonts w:hint="eastAsia" w:ascii="黑体" w:hAnsi="黑体" w:eastAsia="黑体" w:cs="华文楷体"/>
          <w:bCs/>
          <w:position w:val="-17"/>
          <w:sz w:val="30"/>
          <w:szCs w:val="30"/>
          <w:lang w:val="en-US" w:eastAsia="zh-CN"/>
        </w:rPr>
        <w:t>11</w:t>
      </w:r>
      <w:r>
        <w:rPr>
          <w:rFonts w:hint="eastAsia" w:ascii="黑体" w:hAnsi="黑体" w:eastAsia="黑体" w:cs="华文楷体"/>
          <w:bCs/>
          <w:position w:val="-17"/>
          <w:sz w:val="30"/>
          <w:szCs w:val="30"/>
        </w:rPr>
        <w:t>月</w:t>
      </w:r>
    </w:p>
    <w:p>
      <w:pPr>
        <w:pStyle w:val="43"/>
        <w:adjustRightInd w:val="0"/>
        <w:snapToGrid w:val="0"/>
        <w:spacing w:line="300" w:lineRule="auto"/>
        <w:rPr>
          <w:rFonts w:ascii="黑体" w:hAnsi="黑体"/>
          <w:b w:val="0"/>
        </w:rPr>
        <w:sectPr>
          <w:endnotePr>
            <w:numFmt w:val="decimal"/>
          </w:endnotePr>
          <w:pgSz w:w="11906" w:h="16838"/>
          <w:pgMar w:top="2155" w:right="1644" w:bottom="1701" w:left="1644" w:header="1701" w:footer="1304" w:gutter="0"/>
          <w:pgNumType w:fmt="upperRoman" w:start="1"/>
          <w:cols w:space="720" w:num="1"/>
          <w:docGrid w:type="linesAndChars" w:linePitch="381" w:charSpace="1861"/>
        </w:sectPr>
      </w:pPr>
    </w:p>
    <w:p>
      <w:pPr>
        <w:keepNext w:val="0"/>
        <w:keepLines w:val="0"/>
        <w:pageBreakBefore w:val="0"/>
        <w:widowControl/>
        <w:suppressLineNumbers w:val="0"/>
        <w:kinsoku/>
        <w:wordWrap/>
        <w:overflowPunct/>
        <w:topLinePunct w:val="0"/>
        <w:autoSpaceDE/>
        <w:autoSpaceDN/>
        <w:bidi w:val="0"/>
        <w:adjustRightInd/>
        <w:snapToGrid/>
        <w:jc w:val="center"/>
        <w:textAlignment w:val="auto"/>
        <w:outlineLvl w:val="9"/>
        <w:rPr>
          <w:rFonts w:hint="default"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目次</w:t>
      </w:r>
    </w:p>
    <w:p>
      <w:pPr>
        <w:pStyle w:val="16"/>
        <w:tabs>
          <w:tab w:val="right" w:leader="dot" w:pos="8306"/>
        </w:tabs>
      </w:pPr>
      <w:r>
        <w:rPr>
          <w:rFonts w:hint="eastAsia"/>
          <w:color w:val="auto"/>
          <w:lang w:val="en-US" w:eastAsia="zh-CN"/>
        </w:rPr>
        <w:fldChar w:fldCharType="begin"/>
      </w:r>
      <w:r>
        <w:rPr>
          <w:rFonts w:hint="eastAsia"/>
          <w:color w:val="auto"/>
          <w:lang w:val="en-US" w:eastAsia="zh-CN"/>
        </w:rPr>
        <w:instrText xml:space="preserve">TOC \o "1-2" \h \u </w:instrText>
      </w:r>
      <w:r>
        <w:rPr>
          <w:rFonts w:hint="eastAsia"/>
          <w:color w:val="auto"/>
          <w:lang w:val="en-US" w:eastAsia="zh-CN"/>
        </w:rPr>
        <w:fldChar w:fldCharType="separate"/>
      </w:r>
      <w:r>
        <w:rPr>
          <w:rFonts w:hint="eastAsia"/>
          <w:color w:val="auto"/>
          <w:lang w:val="en-US" w:eastAsia="zh-CN"/>
        </w:rPr>
        <w:fldChar w:fldCharType="begin"/>
      </w:r>
      <w:r>
        <w:rPr>
          <w:rFonts w:hint="eastAsia"/>
          <w:lang w:val="en-US" w:eastAsia="zh-CN"/>
        </w:rPr>
        <w:instrText xml:space="preserve"> HYPERLINK \l _Toc29587 </w:instrText>
      </w:r>
      <w:r>
        <w:rPr>
          <w:rFonts w:hint="eastAsia"/>
          <w:lang w:val="en-US" w:eastAsia="zh-CN"/>
        </w:rPr>
        <w:fldChar w:fldCharType="separate"/>
      </w:r>
      <w:r>
        <w:rPr>
          <w:rFonts w:hint="default" w:ascii="Times New Roman" w:hAnsi="Times New Roman" w:eastAsia="黑体"/>
          <w:szCs w:val="32"/>
          <w:lang w:val="en-US" w:eastAsia="zh-CN"/>
        </w:rPr>
        <w:t xml:space="preserve">1 </w:t>
      </w:r>
      <w:r>
        <w:rPr>
          <w:rFonts w:hint="eastAsia"/>
          <w:lang w:val="en-US" w:eastAsia="zh-CN"/>
        </w:rPr>
        <w:t>引言</w:t>
      </w:r>
      <w:r>
        <w:tab/>
      </w:r>
      <w:r>
        <w:fldChar w:fldCharType="begin"/>
      </w:r>
      <w:r>
        <w:instrText xml:space="preserve"> PAGEREF _Toc29587 \h </w:instrText>
      </w:r>
      <w:r>
        <w:fldChar w:fldCharType="separate"/>
      </w:r>
      <w:r>
        <w:t>1</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_Toc30927 </w:instrText>
      </w:r>
      <w:r>
        <w:rPr>
          <w:rFonts w:hint="eastAsia"/>
          <w:lang w:val="en-US" w:eastAsia="zh-CN"/>
        </w:rPr>
        <w:fldChar w:fldCharType="separate"/>
      </w:r>
      <w:r>
        <w:rPr>
          <w:rFonts w:hint="default" w:ascii="Times New Roman" w:hAnsi="Times New Roman" w:eastAsia="黑体"/>
          <w:szCs w:val="32"/>
          <w:lang w:val="en-US" w:eastAsia="zh-CN"/>
        </w:rPr>
        <w:t xml:space="preserve">2 </w:t>
      </w:r>
      <w:r>
        <w:rPr>
          <w:rFonts w:hint="eastAsia"/>
          <w:lang w:val="en-US" w:eastAsia="zh-CN"/>
        </w:rPr>
        <w:t>适用范围</w:t>
      </w:r>
      <w:r>
        <w:tab/>
      </w:r>
      <w:r>
        <w:fldChar w:fldCharType="begin"/>
      </w:r>
      <w:r>
        <w:instrText xml:space="preserve"> PAGEREF _Toc30927 \h </w:instrText>
      </w:r>
      <w:r>
        <w:fldChar w:fldCharType="separate"/>
      </w:r>
      <w:r>
        <w:t>2</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_Toc12228 </w:instrText>
      </w:r>
      <w:r>
        <w:rPr>
          <w:rFonts w:hint="eastAsia"/>
          <w:lang w:val="en-US" w:eastAsia="zh-CN"/>
        </w:rPr>
        <w:fldChar w:fldCharType="separate"/>
      </w:r>
      <w:r>
        <w:rPr>
          <w:rFonts w:hint="default" w:ascii="Times New Roman" w:hAnsi="Times New Roman" w:eastAsia="黑体"/>
          <w:szCs w:val="32"/>
          <w:lang w:val="en-US" w:eastAsia="zh-CN"/>
        </w:rPr>
        <w:t xml:space="preserve">3 </w:t>
      </w:r>
      <w:r>
        <w:rPr>
          <w:rFonts w:hint="eastAsia"/>
          <w:lang w:val="en-US" w:eastAsia="zh-CN"/>
        </w:rPr>
        <w:t>规范性引用文件</w:t>
      </w:r>
      <w:r>
        <w:tab/>
      </w:r>
      <w:r>
        <w:fldChar w:fldCharType="begin"/>
      </w:r>
      <w:r>
        <w:instrText xml:space="preserve"> PAGEREF _Toc12228 \h </w:instrText>
      </w:r>
      <w:r>
        <w:fldChar w:fldCharType="separate"/>
      </w:r>
      <w:r>
        <w:t>3</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_Toc18964 </w:instrText>
      </w:r>
      <w:r>
        <w:rPr>
          <w:rFonts w:hint="eastAsia"/>
          <w:lang w:val="en-US" w:eastAsia="zh-CN"/>
        </w:rPr>
        <w:fldChar w:fldCharType="separate"/>
      </w:r>
      <w:r>
        <w:rPr>
          <w:rFonts w:hint="default" w:ascii="Times New Roman" w:hAnsi="Times New Roman" w:eastAsia="黑体"/>
          <w:szCs w:val="32"/>
        </w:rPr>
        <w:t xml:space="preserve">4 </w:t>
      </w:r>
      <w:r>
        <w:rPr>
          <w:lang w:val="en-US" w:eastAsia="zh-CN"/>
        </w:rPr>
        <w:t>术语</w:t>
      </w:r>
      <w:r>
        <w:rPr>
          <w:rFonts w:hint="eastAsia"/>
          <w:lang w:val="en-US" w:eastAsia="zh-CN"/>
        </w:rPr>
        <w:t>和</w:t>
      </w:r>
      <w:r>
        <w:rPr>
          <w:lang w:val="en-US" w:eastAsia="zh-CN"/>
        </w:rPr>
        <w:t>符号</w:t>
      </w:r>
      <w:r>
        <w:tab/>
      </w:r>
      <w:r>
        <w:fldChar w:fldCharType="begin"/>
      </w:r>
      <w:r>
        <w:instrText xml:space="preserve"> PAGEREF _Toc18964 \h </w:instrText>
      </w:r>
      <w:r>
        <w:fldChar w:fldCharType="separate"/>
      </w:r>
      <w:r>
        <w:t>4</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_Toc17415 </w:instrText>
      </w:r>
      <w:r>
        <w:rPr>
          <w:rFonts w:hint="eastAsia"/>
          <w:lang w:val="en-US" w:eastAsia="zh-CN"/>
        </w:rPr>
        <w:fldChar w:fldCharType="separate"/>
      </w:r>
      <w:r>
        <w:rPr>
          <w:rFonts w:hint="default" w:ascii="黑体" w:hAnsi="黑体" w:eastAsia="黑体"/>
          <w:szCs w:val="28"/>
          <w:lang w:val="en-US" w:eastAsia="zh-CN"/>
        </w:rPr>
        <w:t xml:space="preserve">4.1 </w:t>
      </w:r>
      <w:r>
        <w:rPr>
          <w:rFonts w:hint="eastAsia"/>
          <w:lang w:val="en-US" w:eastAsia="zh-CN"/>
        </w:rPr>
        <w:t>术语</w:t>
      </w:r>
      <w:r>
        <w:tab/>
      </w:r>
      <w:r>
        <w:fldChar w:fldCharType="begin"/>
      </w:r>
      <w:r>
        <w:instrText xml:space="preserve"> PAGEREF _Toc17415 \h </w:instrText>
      </w:r>
      <w:r>
        <w:fldChar w:fldCharType="separate"/>
      </w:r>
      <w:r>
        <w:t>4</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_Toc10292 </w:instrText>
      </w:r>
      <w:r>
        <w:rPr>
          <w:rFonts w:hint="eastAsia"/>
          <w:lang w:val="en-US" w:eastAsia="zh-CN"/>
        </w:rPr>
        <w:fldChar w:fldCharType="separate"/>
      </w:r>
      <w:r>
        <w:rPr>
          <w:rFonts w:hint="default" w:ascii="黑体" w:hAnsi="黑体" w:eastAsia="黑体"/>
          <w:szCs w:val="28"/>
        </w:rPr>
        <w:t xml:space="preserve">4.2 </w:t>
      </w:r>
      <w:r>
        <w:rPr>
          <w:rFonts w:hint="eastAsia"/>
          <w:lang w:val="en-US" w:eastAsia="zh-CN"/>
        </w:rPr>
        <w:t>符号</w:t>
      </w:r>
      <w:r>
        <w:tab/>
      </w:r>
      <w:r>
        <w:fldChar w:fldCharType="begin"/>
      </w:r>
      <w:r>
        <w:instrText xml:space="preserve"> PAGEREF _Toc10292 \h </w:instrText>
      </w:r>
      <w:r>
        <w:fldChar w:fldCharType="separate"/>
      </w:r>
      <w:r>
        <w:t>5</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_Toc16268 </w:instrText>
      </w:r>
      <w:r>
        <w:rPr>
          <w:rFonts w:hint="eastAsia"/>
          <w:lang w:val="en-US" w:eastAsia="zh-CN"/>
        </w:rPr>
        <w:fldChar w:fldCharType="separate"/>
      </w:r>
      <w:r>
        <w:rPr>
          <w:rFonts w:hint="default" w:ascii="Times New Roman" w:hAnsi="Times New Roman" w:eastAsia="黑体"/>
          <w:szCs w:val="32"/>
          <w:lang w:val="en-US" w:eastAsia="zh-CN"/>
        </w:rPr>
        <w:t xml:space="preserve">5 </w:t>
      </w:r>
      <w:r>
        <w:rPr>
          <w:rFonts w:hint="eastAsia"/>
          <w:lang w:val="en-US" w:eastAsia="zh-CN"/>
        </w:rPr>
        <w:t>管理要求</w:t>
      </w:r>
      <w:r>
        <w:tab/>
      </w:r>
      <w:r>
        <w:fldChar w:fldCharType="begin"/>
      </w:r>
      <w:r>
        <w:instrText xml:space="preserve"> PAGEREF _Toc16268 \h </w:instrText>
      </w:r>
      <w:r>
        <w:fldChar w:fldCharType="separate"/>
      </w:r>
      <w:r>
        <w:t>7</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_Toc16408 </w:instrText>
      </w:r>
      <w:r>
        <w:rPr>
          <w:rFonts w:hint="eastAsia"/>
          <w:lang w:val="en-US" w:eastAsia="zh-CN"/>
        </w:rPr>
        <w:fldChar w:fldCharType="separate"/>
      </w:r>
      <w:r>
        <w:rPr>
          <w:rFonts w:hint="default" w:ascii="黑体" w:hAnsi="黑体" w:eastAsia="黑体"/>
          <w:szCs w:val="28"/>
          <w:lang w:val="en-US" w:eastAsia="zh-CN"/>
        </w:rPr>
        <w:t xml:space="preserve">5.1 </w:t>
      </w:r>
      <w:r>
        <w:rPr>
          <w:rFonts w:hint="eastAsia"/>
          <w:lang w:val="en-US" w:eastAsia="zh-CN"/>
        </w:rPr>
        <w:t>鉴定机构和人员要求</w:t>
      </w:r>
      <w:r>
        <w:tab/>
      </w:r>
      <w:r>
        <w:fldChar w:fldCharType="begin"/>
      </w:r>
      <w:r>
        <w:instrText xml:space="preserve"> PAGEREF _Toc16408 \h </w:instrText>
      </w:r>
      <w:r>
        <w:fldChar w:fldCharType="separate"/>
      </w:r>
      <w:r>
        <w:t>7</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_Toc29738 </w:instrText>
      </w:r>
      <w:r>
        <w:rPr>
          <w:rFonts w:hint="eastAsia"/>
          <w:lang w:val="en-US" w:eastAsia="zh-CN"/>
        </w:rPr>
        <w:fldChar w:fldCharType="separate"/>
      </w:r>
      <w:r>
        <w:rPr>
          <w:rFonts w:hint="default" w:ascii="黑体" w:hAnsi="黑体" w:eastAsia="黑体"/>
          <w:szCs w:val="28"/>
          <w:lang w:val="en-US" w:eastAsia="zh-CN"/>
        </w:rPr>
        <w:t xml:space="preserve">5.2 </w:t>
      </w:r>
      <w:r>
        <w:rPr>
          <w:rFonts w:hint="eastAsia"/>
          <w:lang w:val="en-US" w:eastAsia="zh-CN"/>
        </w:rPr>
        <w:t>项目管理要求</w:t>
      </w:r>
      <w:r>
        <w:tab/>
      </w:r>
      <w:r>
        <w:fldChar w:fldCharType="begin"/>
      </w:r>
      <w:r>
        <w:instrText xml:space="preserve"> PAGEREF _Toc29738 \h </w:instrText>
      </w:r>
      <w:r>
        <w:fldChar w:fldCharType="separate"/>
      </w:r>
      <w:r>
        <w:t>7</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_Toc23172 </w:instrText>
      </w:r>
      <w:r>
        <w:rPr>
          <w:rFonts w:hint="eastAsia"/>
          <w:lang w:val="en-US" w:eastAsia="zh-CN"/>
        </w:rPr>
        <w:fldChar w:fldCharType="separate"/>
      </w:r>
      <w:r>
        <w:rPr>
          <w:rFonts w:hint="default" w:ascii="黑体" w:hAnsi="黑体" w:eastAsia="黑体"/>
          <w:szCs w:val="28"/>
          <w:lang w:val="en-US" w:eastAsia="zh-CN"/>
        </w:rPr>
        <w:t xml:space="preserve">5.3 </w:t>
      </w:r>
      <w:r>
        <w:rPr>
          <w:rFonts w:hint="eastAsia"/>
          <w:lang w:val="en-US" w:eastAsia="zh-CN"/>
        </w:rPr>
        <w:t>监督检查</w:t>
      </w:r>
      <w:r>
        <w:tab/>
      </w:r>
      <w:r>
        <w:fldChar w:fldCharType="begin"/>
      </w:r>
      <w:r>
        <w:instrText xml:space="preserve"> PAGEREF _Toc23172 \h </w:instrText>
      </w:r>
      <w:r>
        <w:fldChar w:fldCharType="separate"/>
      </w:r>
      <w:r>
        <w:t>8</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_Toc29876 </w:instrText>
      </w:r>
      <w:r>
        <w:rPr>
          <w:rFonts w:hint="eastAsia"/>
          <w:lang w:val="en-US" w:eastAsia="zh-CN"/>
        </w:rPr>
        <w:fldChar w:fldCharType="separate"/>
      </w:r>
      <w:r>
        <w:rPr>
          <w:rFonts w:hint="default" w:ascii="Times New Roman" w:hAnsi="Times New Roman" w:eastAsia="黑体"/>
          <w:szCs w:val="32"/>
          <w:lang w:val="en-US" w:eastAsia="zh-CN"/>
        </w:rPr>
        <w:t xml:space="preserve">6 </w:t>
      </w:r>
      <w:r>
        <w:rPr>
          <w:rFonts w:hint="eastAsia"/>
          <w:lang w:val="en-US" w:eastAsia="zh-CN"/>
        </w:rPr>
        <w:t>基本要求</w:t>
      </w:r>
      <w:r>
        <w:tab/>
      </w:r>
      <w:r>
        <w:fldChar w:fldCharType="begin"/>
      </w:r>
      <w:r>
        <w:instrText xml:space="preserve"> PAGEREF _Toc29876 \h </w:instrText>
      </w:r>
      <w:r>
        <w:fldChar w:fldCharType="separate"/>
      </w:r>
      <w:r>
        <w:t>9</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_Toc32665 </w:instrText>
      </w:r>
      <w:r>
        <w:rPr>
          <w:rFonts w:hint="eastAsia"/>
          <w:lang w:val="en-US" w:eastAsia="zh-CN"/>
        </w:rPr>
        <w:fldChar w:fldCharType="separate"/>
      </w:r>
      <w:r>
        <w:rPr>
          <w:rFonts w:hint="default" w:ascii="黑体" w:hAnsi="黑体" w:eastAsia="黑体"/>
          <w:szCs w:val="28"/>
          <w:lang w:val="en-US" w:eastAsia="zh-CN"/>
        </w:rPr>
        <w:t xml:space="preserve">6.1 </w:t>
      </w:r>
      <w:r>
        <w:rPr>
          <w:rFonts w:hint="eastAsia"/>
          <w:lang w:val="en-US" w:eastAsia="zh-CN"/>
        </w:rPr>
        <w:t>一般规定</w:t>
      </w:r>
      <w:r>
        <w:tab/>
      </w:r>
      <w:r>
        <w:fldChar w:fldCharType="begin"/>
      </w:r>
      <w:r>
        <w:instrText xml:space="preserve"> PAGEREF _Toc32665 \h </w:instrText>
      </w:r>
      <w:r>
        <w:fldChar w:fldCharType="separate"/>
      </w:r>
      <w:r>
        <w:t>9</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_Toc20221 </w:instrText>
      </w:r>
      <w:r>
        <w:rPr>
          <w:rFonts w:hint="eastAsia"/>
          <w:lang w:val="en-US" w:eastAsia="zh-CN"/>
        </w:rPr>
        <w:fldChar w:fldCharType="separate"/>
      </w:r>
      <w:r>
        <w:rPr>
          <w:rFonts w:hint="default" w:ascii="黑体" w:hAnsi="黑体" w:eastAsia="黑体"/>
          <w:szCs w:val="28"/>
          <w:lang w:val="en-US" w:eastAsia="zh-CN"/>
        </w:rPr>
        <w:t xml:space="preserve">6.2 </w:t>
      </w:r>
      <w:r>
        <w:rPr>
          <w:rFonts w:hint="eastAsia"/>
          <w:lang w:val="en-US" w:eastAsia="zh-CN"/>
        </w:rPr>
        <w:t>初步调查</w:t>
      </w:r>
      <w:r>
        <w:tab/>
      </w:r>
      <w:r>
        <w:fldChar w:fldCharType="begin"/>
      </w:r>
      <w:r>
        <w:instrText xml:space="preserve"> PAGEREF _Toc20221 \h </w:instrText>
      </w:r>
      <w:r>
        <w:fldChar w:fldCharType="separate"/>
      </w:r>
      <w:r>
        <w:t>9</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_Toc23370 </w:instrText>
      </w:r>
      <w:r>
        <w:rPr>
          <w:rFonts w:hint="eastAsia"/>
          <w:lang w:val="en-US" w:eastAsia="zh-CN"/>
        </w:rPr>
        <w:fldChar w:fldCharType="separate"/>
      </w:r>
      <w:r>
        <w:rPr>
          <w:rFonts w:hint="default" w:ascii="黑体" w:hAnsi="黑体" w:eastAsia="黑体"/>
          <w:szCs w:val="28"/>
          <w:lang w:val="en-US" w:eastAsia="zh-CN"/>
        </w:rPr>
        <w:t xml:space="preserve">6.3 </w:t>
      </w:r>
      <w:r>
        <w:rPr>
          <w:rFonts w:hint="eastAsia"/>
          <w:lang w:val="en-US" w:eastAsia="zh-CN"/>
        </w:rPr>
        <w:t>鉴定方案</w:t>
      </w:r>
      <w:r>
        <w:tab/>
      </w:r>
      <w:r>
        <w:fldChar w:fldCharType="begin"/>
      </w:r>
      <w:r>
        <w:instrText xml:space="preserve"> PAGEREF _Toc23370 \h </w:instrText>
      </w:r>
      <w:r>
        <w:fldChar w:fldCharType="separate"/>
      </w:r>
      <w:r>
        <w:t>10</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_Toc9965 </w:instrText>
      </w:r>
      <w:r>
        <w:rPr>
          <w:rFonts w:hint="eastAsia"/>
          <w:lang w:val="en-US" w:eastAsia="zh-CN"/>
        </w:rPr>
        <w:fldChar w:fldCharType="separate"/>
      </w:r>
      <w:r>
        <w:rPr>
          <w:rFonts w:hint="default" w:ascii="黑体" w:hAnsi="黑体" w:eastAsia="黑体"/>
          <w:szCs w:val="28"/>
          <w:lang w:val="en-US" w:eastAsia="zh-CN"/>
        </w:rPr>
        <w:t xml:space="preserve">6.4 </w:t>
      </w:r>
      <w:r>
        <w:rPr>
          <w:rFonts w:hint="eastAsia"/>
          <w:lang w:val="en-US" w:eastAsia="zh-CN"/>
        </w:rPr>
        <w:t>现场检查检测</w:t>
      </w:r>
      <w:r>
        <w:tab/>
      </w:r>
      <w:r>
        <w:fldChar w:fldCharType="begin"/>
      </w:r>
      <w:r>
        <w:instrText xml:space="preserve"> PAGEREF _Toc9965 \h </w:instrText>
      </w:r>
      <w:r>
        <w:fldChar w:fldCharType="separate"/>
      </w:r>
      <w:r>
        <w:t>10</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_Toc4757 </w:instrText>
      </w:r>
      <w:r>
        <w:rPr>
          <w:rFonts w:hint="eastAsia"/>
          <w:lang w:val="en-US" w:eastAsia="zh-CN"/>
        </w:rPr>
        <w:fldChar w:fldCharType="separate"/>
      </w:r>
      <w:r>
        <w:rPr>
          <w:rFonts w:hint="default" w:ascii="黑体" w:hAnsi="黑体" w:eastAsia="黑体"/>
          <w:szCs w:val="28"/>
          <w:lang w:val="en-US" w:eastAsia="zh-CN"/>
        </w:rPr>
        <w:t xml:space="preserve">6.5 </w:t>
      </w:r>
      <w:r>
        <w:t>复核</w:t>
      </w:r>
      <w:r>
        <w:rPr>
          <w:rFonts w:hint="eastAsia"/>
          <w:lang w:val="en-US" w:eastAsia="zh-CN"/>
        </w:rPr>
        <w:t>验算</w:t>
      </w:r>
      <w:r>
        <w:tab/>
      </w:r>
      <w:r>
        <w:fldChar w:fldCharType="begin"/>
      </w:r>
      <w:r>
        <w:instrText xml:space="preserve"> PAGEREF _Toc4757 \h </w:instrText>
      </w:r>
      <w:r>
        <w:fldChar w:fldCharType="separate"/>
      </w:r>
      <w:r>
        <w:t>12</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_Toc17240 </w:instrText>
      </w:r>
      <w:r>
        <w:rPr>
          <w:rFonts w:hint="eastAsia"/>
          <w:lang w:val="en-US" w:eastAsia="zh-CN"/>
        </w:rPr>
        <w:fldChar w:fldCharType="separate"/>
      </w:r>
      <w:r>
        <w:rPr>
          <w:rFonts w:hint="default" w:ascii="黑体" w:hAnsi="黑体" w:eastAsia="黑体"/>
          <w:szCs w:val="28"/>
          <w:lang w:val="en-US" w:eastAsia="zh-CN"/>
        </w:rPr>
        <w:t xml:space="preserve">6.6 </w:t>
      </w:r>
      <w:r>
        <w:rPr>
          <w:rFonts w:hint="eastAsia"/>
          <w:lang w:val="en-US" w:eastAsia="zh-CN"/>
        </w:rPr>
        <w:t>鉴定方法和要求</w:t>
      </w:r>
      <w:r>
        <w:tab/>
      </w:r>
      <w:r>
        <w:fldChar w:fldCharType="begin"/>
      </w:r>
      <w:r>
        <w:instrText xml:space="preserve"> PAGEREF _Toc17240 \h </w:instrText>
      </w:r>
      <w:r>
        <w:fldChar w:fldCharType="separate"/>
      </w:r>
      <w:r>
        <w:t>13</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_Toc30601 </w:instrText>
      </w:r>
      <w:r>
        <w:rPr>
          <w:rFonts w:hint="eastAsia"/>
          <w:lang w:val="en-US" w:eastAsia="zh-CN"/>
        </w:rPr>
        <w:fldChar w:fldCharType="separate"/>
      </w:r>
      <w:r>
        <w:rPr>
          <w:rFonts w:hint="default" w:ascii="黑体" w:hAnsi="黑体" w:eastAsia="黑体"/>
          <w:szCs w:val="28"/>
          <w:lang w:val="en-US" w:eastAsia="zh-CN"/>
        </w:rPr>
        <w:t xml:space="preserve">6.7 </w:t>
      </w:r>
      <w:r>
        <w:rPr>
          <w:rFonts w:hint="eastAsia"/>
          <w:lang w:val="en-US" w:eastAsia="zh-CN"/>
        </w:rPr>
        <w:t>鉴定分级标准</w:t>
      </w:r>
      <w:r>
        <w:tab/>
      </w:r>
      <w:r>
        <w:fldChar w:fldCharType="begin"/>
      </w:r>
      <w:r>
        <w:instrText xml:space="preserve"> PAGEREF _Toc30601 \h </w:instrText>
      </w:r>
      <w:r>
        <w:fldChar w:fldCharType="separate"/>
      </w:r>
      <w:r>
        <w:t>17</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_Toc25208 </w:instrText>
      </w:r>
      <w:r>
        <w:rPr>
          <w:rFonts w:hint="eastAsia"/>
          <w:lang w:val="en-US" w:eastAsia="zh-CN"/>
        </w:rPr>
        <w:fldChar w:fldCharType="separate"/>
      </w:r>
      <w:r>
        <w:rPr>
          <w:rFonts w:hint="default" w:ascii="Times New Roman" w:hAnsi="Times New Roman" w:eastAsia="黑体"/>
          <w:szCs w:val="32"/>
          <w:lang w:val="en-US" w:eastAsia="zh-CN"/>
        </w:rPr>
        <w:t xml:space="preserve">7 </w:t>
      </w:r>
      <w:r>
        <w:rPr>
          <w:rFonts w:hint="eastAsia"/>
          <w:lang w:val="en-US" w:eastAsia="zh-CN"/>
        </w:rPr>
        <w:t>鉴定评级</w:t>
      </w:r>
      <w:r>
        <w:tab/>
      </w:r>
      <w:r>
        <w:fldChar w:fldCharType="begin"/>
      </w:r>
      <w:r>
        <w:instrText xml:space="preserve"> PAGEREF _Toc25208 \h </w:instrText>
      </w:r>
      <w:r>
        <w:fldChar w:fldCharType="separate"/>
      </w:r>
      <w:r>
        <w:t>19</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_Toc14933 </w:instrText>
      </w:r>
      <w:r>
        <w:rPr>
          <w:rFonts w:hint="eastAsia"/>
          <w:lang w:val="en-US" w:eastAsia="zh-CN"/>
        </w:rPr>
        <w:fldChar w:fldCharType="separate"/>
      </w:r>
      <w:r>
        <w:rPr>
          <w:rFonts w:hint="default" w:ascii="黑体" w:hAnsi="黑体" w:eastAsia="黑体"/>
          <w:szCs w:val="28"/>
          <w:lang w:val="en-US" w:eastAsia="zh-CN"/>
        </w:rPr>
        <w:t xml:space="preserve">7.1 </w:t>
      </w:r>
      <w:r>
        <w:rPr>
          <w:rFonts w:hint="eastAsia"/>
          <w:lang w:val="en-US" w:eastAsia="zh-CN"/>
        </w:rPr>
        <w:t>地基基础</w:t>
      </w:r>
      <w:r>
        <w:tab/>
      </w:r>
      <w:r>
        <w:fldChar w:fldCharType="begin"/>
      </w:r>
      <w:r>
        <w:instrText xml:space="preserve"> PAGEREF _Toc14933 \h </w:instrText>
      </w:r>
      <w:r>
        <w:fldChar w:fldCharType="separate"/>
      </w:r>
      <w:r>
        <w:t>19</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_Toc6961 </w:instrText>
      </w:r>
      <w:r>
        <w:rPr>
          <w:rFonts w:hint="eastAsia"/>
          <w:lang w:val="en-US" w:eastAsia="zh-CN"/>
        </w:rPr>
        <w:fldChar w:fldCharType="separate"/>
      </w:r>
      <w:r>
        <w:rPr>
          <w:rFonts w:hint="default" w:ascii="黑体" w:hAnsi="黑体" w:eastAsia="黑体"/>
          <w:szCs w:val="28"/>
          <w:lang w:val="en-US" w:eastAsia="zh-CN"/>
        </w:rPr>
        <w:t xml:space="preserve">7.2 </w:t>
      </w:r>
      <w:r>
        <w:rPr>
          <w:rFonts w:hint="eastAsia"/>
          <w:lang w:val="en-US" w:eastAsia="zh-CN"/>
        </w:rPr>
        <w:t>砌体结构</w:t>
      </w:r>
      <w:r>
        <w:tab/>
      </w:r>
      <w:r>
        <w:fldChar w:fldCharType="begin"/>
      </w:r>
      <w:r>
        <w:instrText xml:space="preserve"> PAGEREF _Toc6961 \h </w:instrText>
      </w:r>
      <w:r>
        <w:fldChar w:fldCharType="separate"/>
      </w:r>
      <w:r>
        <w:t>20</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_Toc26613 </w:instrText>
      </w:r>
      <w:r>
        <w:rPr>
          <w:rFonts w:hint="eastAsia"/>
          <w:lang w:val="en-US" w:eastAsia="zh-CN"/>
        </w:rPr>
        <w:fldChar w:fldCharType="separate"/>
      </w:r>
      <w:r>
        <w:rPr>
          <w:rFonts w:hint="default" w:ascii="黑体" w:hAnsi="黑体" w:eastAsia="黑体"/>
          <w:szCs w:val="28"/>
          <w:lang w:val="en-US" w:eastAsia="zh-CN"/>
        </w:rPr>
        <w:t xml:space="preserve">7.3 </w:t>
      </w:r>
      <w:r>
        <w:rPr>
          <w:rFonts w:hint="eastAsia"/>
          <w:lang w:val="en-US" w:eastAsia="zh-CN"/>
        </w:rPr>
        <w:t>混凝土结构</w:t>
      </w:r>
      <w:r>
        <w:tab/>
      </w:r>
      <w:r>
        <w:fldChar w:fldCharType="begin"/>
      </w:r>
      <w:r>
        <w:instrText xml:space="preserve"> PAGEREF _Toc26613 \h </w:instrText>
      </w:r>
      <w:r>
        <w:fldChar w:fldCharType="separate"/>
      </w:r>
      <w:r>
        <w:t>25</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_Toc31118 </w:instrText>
      </w:r>
      <w:r>
        <w:rPr>
          <w:rFonts w:hint="eastAsia"/>
          <w:lang w:val="en-US" w:eastAsia="zh-CN"/>
        </w:rPr>
        <w:fldChar w:fldCharType="separate"/>
      </w:r>
      <w:r>
        <w:rPr>
          <w:rFonts w:hint="default" w:ascii="黑体" w:hAnsi="黑体" w:eastAsia="黑体"/>
          <w:szCs w:val="28"/>
          <w:lang w:val="en-US" w:eastAsia="zh-CN"/>
        </w:rPr>
        <w:t xml:space="preserve">7.4 </w:t>
      </w:r>
      <w:r>
        <w:rPr>
          <w:rFonts w:hint="eastAsia"/>
          <w:lang w:val="en-US" w:eastAsia="zh-CN"/>
        </w:rPr>
        <w:t>钢结构</w:t>
      </w:r>
      <w:r>
        <w:tab/>
      </w:r>
      <w:r>
        <w:fldChar w:fldCharType="begin"/>
      </w:r>
      <w:r>
        <w:instrText xml:space="preserve"> PAGEREF _Toc31118 \h </w:instrText>
      </w:r>
      <w:r>
        <w:fldChar w:fldCharType="separate"/>
      </w:r>
      <w:r>
        <w:t>29</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_Toc19266 </w:instrText>
      </w:r>
      <w:r>
        <w:rPr>
          <w:rFonts w:hint="eastAsia"/>
          <w:lang w:val="en-US" w:eastAsia="zh-CN"/>
        </w:rPr>
        <w:fldChar w:fldCharType="separate"/>
      </w:r>
      <w:r>
        <w:rPr>
          <w:rFonts w:hint="default" w:ascii="黑体" w:hAnsi="黑体" w:eastAsia="黑体"/>
          <w:szCs w:val="28"/>
          <w:lang w:val="en-US" w:eastAsia="zh-CN"/>
        </w:rPr>
        <w:t xml:space="preserve">7.5 </w:t>
      </w:r>
      <w:r>
        <w:rPr>
          <w:rFonts w:hint="eastAsia"/>
          <w:lang w:val="en-US" w:eastAsia="zh-CN"/>
        </w:rPr>
        <w:t>木结构</w:t>
      </w:r>
      <w:r>
        <w:tab/>
      </w:r>
      <w:r>
        <w:fldChar w:fldCharType="begin"/>
      </w:r>
      <w:r>
        <w:instrText xml:space="preserve"> PAGEREF _Toc19266 \h </w:instrText>
      </w:r>
      <w:r>
        <w:fldChar w:fldCharType="separate"/>
      </w:r>
      <w:r>
        <w:t>33</w:t>
      </w:r>
      <w:r>
        <w:fldChar w:fldCharType="end"/>
      </w:r>
      <w:r>
        <w:rPr>
          <w:rFonts w:hint="eastAsia"/>
          <w:color w:val="auto"/>
          <w:lang w:val="en-US" w:eastAsia="zh-CN"/>
        </w:rPr>
        <w:fldChar w:fldCharType="end"/>
      </w:r>
    </w:p>
    <w:p>
      <w:pPr>
        <w:pStyle w:val="17"/>
        <w:tabs>
          <w:tab w:val="right" w:leader="dot" w:pos="8306"/>
        </w:tabs>
      </w:pPr>
      <w:r>
        <w:rPr>
          <w:rFonts w:hint="eastAsia"/>
          <w:color w:val="auto"/>
          <w:lang w:val="en-US" w:eastAsia="zh-CN"/>
        </w:rPr>
        <w:fldChar w:fldCharType="begin"/>
      </w:r>
      <w:r>
        <w:rPr>
          <w:rFonts w:hint="eastAsia"/>
          <w:lang w:val="en-US" w:eastAsia="zh-CN"/>
        </w:rPr>
        <w:instrText xml:space="preserve"> HYPERLINK \l _Toc14363 </w:instrText>
      </w:r>
      <w:r>
        <w:rPr>
          <w:rFonts w:hint="eastAsia"/>
          <w:lang w:val="en-US" w:eastAsia="zh-CN"/>
        </w:rPr>
        <w:fldChar w:fldCharType="separate"/>
      </w:r>
      <w:r>
        <w:rPr>
          <w:rFonts w:hint="default" w:ascii="黑体" w:hAnsi="黑体" w:eastAsia="黑体"/>
          <w:szCs w:val="28"/>
          <w:lang w:val="en-US" w:eastAsia="zh-CN"/>
        </w:rPr>
        <w:t xml:space="preserve">7.6 </w:t>
      </w:r>
      <w:r>
        <w:rPr>
          <w:rFonts w:hint="eastAsia"/>
          <w:lang w:val="en-US" w:eastAsia="zh-CN"/>
        </w:rPr>
        <w:t>围护构件</w:t>
      </w:r>
      <w:r>
        <w:tab/>
      </w:r>
      <w:r>
        <w:fldChar w:fldCharType="begin"/>
      </w:r>
      <w:r>
        <w:instrText xml:space="preserve"> PAGEREF _Toc14363 \h </w:instrText>
      </w:r>
      <w:r>
        <w:fldChar w:fldCharType="separate"/>
      </w:r>
      <w:r>
        <w:t>36</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_Toc11107 </w:instrText>
      </w:r>
      <w:r>
        <w:rPr>
          <w:rFonts w:hint="eastAsia"/>
          <w:lang w:val="en-US" w:eastAsia="zh-CN"/>
        </w:rPr>
        <w:fldChar w:fldCharType="separate"/>
      </w:r>
      <w:r>
        <w:rPr>
          <w:rFonts w:hint="default" w:ascii="Times New Roman" w:hAnsi="Times New Roman" w:eastAsia="黑体"/>
          <w:szCs w:val="32"/>
          <w:lang w:val="en-US" w:eastAsia="zh-CN"/>
        </w:rPr>
        <w:t xml:space="preserve">8 </w:t>
      </w:r>
      <w:r>
        <w:rPr>
          <w:rFonts w:hint="eastAsia"/>
          <w:lang w:val="en-US" w:eastAsia="zh-CN"/>
        </w:rPr>
        <w:t>检测技术要求</w:t>
      </w:r>
      <w:r>
        <w:tab/>
      </w:r>
      <w:r>
        <w:fldChar w:fldCharType="begin"/>
      </w:r>
      <w:r>
        <w:instrText xml:space="preserve"> PAGEREF _Toc11107 \h </w:instrText>
      </w:r>
      <w:r>
        <w:fldChar w:fldCharType="separate"/>
      </w:r>
      <w:r>
        <w:t>38</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_Toc17664 </w:instrText>
      </w:r>
      <w:r>
        <w:rPr>
          <w:rFonts w:hint="eastAsia"/>
          <w:lang w:val="en-US" w:eastAsia="zh-CN"/>
        </w:rPr>
        <w:fldChar w:fldCharType="separate"/>
      </w:r>
      <w:r>
        <w:rPr>
          <w:rFonts w:hint="default" w:ascii="Times New Roman" w:hAnsi="Times New Roman" w:eastAsia="黑体"/>
          <w:szCs w:val="32"/>
          <w:lang w:val="en-US" w:eastAsia="zh-CN"/>
        </w:rPr>
        <w:t xml:space="preserve">9 </w:t>
      </w:r>
      <w:r>
        <w:rPr>
          <w:rFonts w:hint="eastAsia"/>
          <w:lang w:val="en-US" w:eastAsia="zh-CN"/>
        </w:rPr>
        <w:t>鉴定报告要求</w:t>
      </w:r>
      <w:r>
        <w:tab/>
      </w:r>
      <w:r>
        <w:fldChar w:fldCharType="begin"/>
      </w:r>
      <w:r>
        <w:instrText xml:space="preserve"> PAGEREF _Toc17664 \h </w:instrText>
      </w:r>
      <w:r>
        <w:fldChar w:fldCharType="separate"/>
      </w:r>
      <w:r>
        <w:t>39</w:t>
      </w:r>
      <w:r>
        <w:fldChar w:fldCharType="end"/>
      </w:r>
      <w:r>
        <w:rPr>
          <w:rFonts w:hint="eastAsia"/>
          <w:color w:val="auto"/>
          <w:lang w:val="en-US" w:eastAsia="zh-CN"/>
        </w:rPr>
        <w:fldChar w:fldCharType="end"/>
      </w:r>
    </w:p>
    <w:p>
      <w:pPr>
        <w:pStyle w:val="16"/>
        <w:tabs>
          <w:tab w:val="right" w:leader="dot" w:pos="8306"/>
        </w:tabs>
      </w:pPr>
      <w:r>
        <w:rPr>
          <w:rFonts w:hint="eastAsia"/>
          <w:color w:val="auto"/>
          <w:lang w:val="en-US" w:eastAsia="zh-CN"/>
        </w:rPr>
        <w:fldChar w:fldCharType="begin"/>
      </w:r>
      <w:r>
        <w:rPr>
          <w:rFonts w:hint="eastAsia"/>
          <w:lang w:val="en-US" w:eastAsia="zh-CN"/>
        </w:rPr>
        <w:instrText xml:space="preserve"> HYPERLINK \l _Toc31482 </w:instrText>
      </w:r>
      <w:r>
        <w:rPr>
          <w:rFonts w:hint="eastAsia"/>
          <w:lang w:val="en-US" w:eastAsia="zh-CN"/>
        </w:rPr>
        <w:fldChar w:fldCharType="separate"/>
      </w:r>
      <w:r>
        <w:rPr>
          <w:rFonts w:hint="default"/>
        </w:rPr>
        <w:t xml:space="preserve">附录A </w:t>
      </w:r>
      <w:r>
        <w:rPr>
          <w:rFonts w:hint="eastAsia"/>
          <w:lang w:val="en-US" w:eastAsia="zh-CN"/>
        </w:rPr>
        <w:t>民用建筑安全性微鉴定检测技术</w:t>
      </w:r>
      <w:r>
        <w:tab/>
      </w:r>
      <w:r>
        <w:fldChar w:fldCharType="begin"/>
      </w:r>
      <w:r>
        <w:instrText xml:space="preserve"> PAGEREF _Toc31482 \h </w:instrText>
      </w:r>
      <w:r>
        <w:fldChar w:fldCharType="separate"/>
      </w:r>
      <w:r>
        <w:t>40</w:t>
      </w:r>
      <w:r>
        <w:fldChar w:fldCharType="end"/>
      </w:r>
      <w:r>
        <w:rPr>
          <w:rFonts w:hint="eastAsia"/>
          <w:color w:val="auto"/>
          <w:lang w:val="en-US" w:eastAsia="zh-CN"/>
        </w:rPr>
        <w:fldChar w:fldCharType="end"/>
      </w:r>
    </w:p>
    <w:p>
      <w:pPr>
        <w:rPr>
          <w:rFonts w:hint="eastAsia"/>
          <w:color w:val="auto"/>
          <w:lang w:val="en-US" w:eastAsia="zh-CN"/>
        </w:rPr>
        <w:sectPr>
          <w:headerReference r:id="rId5" w:type="default"/>
          <w:footerReference r:id="rId6" w:type="default"/>
          <w:pgSz w:w="11906" w:h="16838"/>
          <w:pgMar w:top="1440" w:right="1800" w:bottom="1440" w:left="1800" w:header="851" w:footer="992" w:gutter="0"/>
          <w:pgNumType w:fmt="decimal" w:start="1"/>
          <w:cols w:space="425" w:num="1"/>
          <w:docGrid w:type="lines" w:linePitch="312" w:charSpace="0"/>
        </w:sectPr>
      </w:pPr>
      <w:r>
        <w:rPr>
          <w:rFonts w:hint="eastAsia"/>
          <w:color w:val="auto"/>
          <w:lang w:val="en-US" w:eastAsia="zh-CN"/>
        </w:rPr>
        <w:fldChar w:fldCharType="end"/>
      </w:r>
    </w:p>
    <w:p>
      <w:pPr>
        <w:pStyle w:val="2"/>
        <w:bidi w:val="0"/>
        <w:ind w:left="0" w:leftChars="0" w:firstLine="0" w:firstLineChars="0"/>
        <w:rPr>
          <w:rFonts w:hint="default"/>
          <w:color w:val="auto"/>
          <w:lang w:val="en-US" w:eastAsia="zh-CN"/>
        </w:rPr>
      </w:pPr>
      <w:bookmarkStart w:id="0" w:name="_Toc1999"/>
      <w:bookmarkStart w:id="1" w:name="_Toc29587"/>
      <w:r>
        <w:rPr>
          <w:rFonts w:hint="eastAsia"/>
          <w:color w:val="auto"/>
          <w:lang w:val="en-US" w:eastAsia="zh-CN"/>
        </w:rPr>
        <w:t>引言</w:t>
      </w:r>
      <w:bookmarkEnd w:id="0"/>
      <w:bookmarkEnd w:id="1"/>
    </w:p>
    <w:p>
      <w:pPr>
        <w:pStyle w:val="5"/>
        <w:numPr>
          <w:ilvl w:val="2"/>
          <w:numId w:val="0"/>
        </w:numPr>
        <w:bidi w:val="0"/>
        <w:ind w:leftChars="0"/>
        <w:rPr>
          <w:rFonts w:hint="eastAsia"/>
          <w:color w:val="auto"/>
          <w:lang w:val="en-US" w:eastAsia="zh-CN"/>
        </w:rPr>
      </w:pPr>
      <w:r>
        <w:rPr>
          <w:rFonts w:hint="default"/>
          <w:color w:val="auto"/>
          <w:lang w:val="en-US" w:eastAsia="zh-CN"/>
        </w:rPr>
        <w:t xml:space="preserve">1.0.1 </w:t>
      </w:r>
      <w:r>
        <w:rPr>
          <w:rFonts w:hint="eastAsia"/>
          <w:color w:val="auto"/>
          <w:lang w:val="en-US" w:eastAsia="zh-CN"/>
        </w:rPr>
        <w:t>为解决民用建筑安全性鉴定中普遍存在“检测破损面大、现场协调困难、修复成本偏高以及对建筑风貌影响显著”等问题，在保障鉴定结果准确、可靠的前提下，实现“微损、高效、安全、保风貌”的鉴定目标，服务民用建筑安全管理与城市更新需求，制定民用建筑安全性微鉴定（本导则简称“微鉴定”）导则。</w:t>
      </w:r>
    </w:p>
    <w:p>
      <w:pPr>
        <w:pStyle w:val="26"/>
        <w:bidi w:val="0"/>
        <w:rPr>
          <w:rFonts w:hint="eastAsia"/>
          <w:color w:val="auto"/>
          <w:lang w:val="en-US" w:eastAsia="zh-CN"/>
        </w:rPr>
        <w:sectPr>
          <w:footerReference r:id="rId7" w:type="default"/>
          <w:pgSz w:w="11906" w:h="16838"/>
          <w:pgMar w:top="1440" w:right="1800" w:bottom="1440" w:left="1800" w:header="0" w:footer="1633" w:gutter="0"/>
          <w:pgNumType w:fmt="decimal" w:start="1"/>
          <w:cols w:space="720" w:num="1"/>
        </w:sectPr>
      </w:pPr>
      <w:r>
        <w:rPr>
          <w:rFonts w:hint="eastAsia"/>
          <w:color w:val="auto"/>
          <w:lang w:val="en-US" w:eastAsia="zh-CN"/>
        </w:rPr>
        <w:t>【条文说明】 目前，苏州市近十年来新建建筑普遍建造和装修质量均较好，因常规鉴定存在检测量过大、破损较多、工时较长等原因，委托方对鉴定工作配合度不高，采用“微鉴定”方法，可对这类建筑开展无损、微损等检测鉴定，解决常规鉴定工作冗长、效率低等问题。</w:t>
      </w:r>
    </w:p>
    <w:p>
      <w:pPr>
        <w:pStyle w:val="2"/>
        <w:ind w:firstLine="0" w:firstLineChars="0"/>
        <w:rPr>
          <w:rFonts w:hint="default"/>
          <w:color w:val="auto"/>
          <w:lang w:val="en-US" w:eastAsia="zh-CN"/>
        </w:rPr>
      </w:pPr>
      <w:bookmarkStart w:id="2" w:name="_Toc21647"/>
      <w:bookmarkStart w:id="3" w:name="_Toc30927"/>
      <w:r>
        <w:rPr>
          <w:rFonts w:hint="eastAsia"/>
          <w:color w:val="auto"/>
          <w:lang w:val="en-US" w:eastAsia="zh-CN"/>
        </w:rPr>
        <w:t>适用范围</w:t>
      </w:r>
      <w:bookmarkEnd w:id="2"/>
      <w:bookmarkEnd w:id="3"/>
    </w:p>
    <w:p>
      <w:pPr>
        <w:pStyle w:val="5"/>
        <w:numPr>
          <w:ilvl w:val="2"/>
          <w:numId w:val="0"/>
        </w:numPr>
        <w:bidi w:val="0"/>
        <w:ind w:leftChars="0"/>
        <w:rPr>
          <w:rFonts w:hint="default" w:asciiTheme="minorEastAsia" w:hAnsiTheme="minorEastAsia" w:eastAsiaTheme="minorEastAsia" w:cstheme="minorEastAsia"/>
          <w:color w:val="auto"/>
          <w:kern w:val="0"/>
          <w:sz w:val="24"/>
          <w:szCs w:val="24"/>
          <w:highlight w:val="magenta"/>
          <w:lang w:val="en-US" w:eastAsia="zh-CN" w:bidi="ar"/>
        </w:rPr>
      </w:pPr>
      <w:r>
        <w:rPr>
          <w:rFonts w:hint="eastAsia" w:asciiTheme="minorEastAsia" w:hAnsiTheme="minorEastAsia" w:eastAsiaTheme="minorEastAsia" w:cstheme="minorEastAsia"/>
          <w:color w:val="auto"/>
          <w:kern w:val="0"/>
          <w:sz w:val="24"/>
          <w:szCs w:val="24"/>
          <w:lang w:val="en-US" w:eastAsia="zh-CN" w:bidi="ar"/>
        </w:rPr>
        <w:t>2.0.1满足下列要求之一的民用建筑安全性可采用微鉴定方式进行鉴定：</w:t>
      </w:r>
    </w:p>
    <w:p>
      <w:pPr>
        <w:pStyle w:val="36"/>
        <w:bidi w:val="0"/>
        <w:rPr>
          <w:rFonts w:hint="eastAsia"/>
          <w:color w:val="auto"/>
        </w:rPr>
      </w:pPr>
      <w:bookmarkStart w:id="4" w:name="_Toc8301"/>
      <w:r>
        <w:rPr>
          <w:rFonts w:hint="default"/>
          <w:color w:val="auto"/>
          <w:lang w:val="en-US" w:eastAsia="zh-CN"/>
        </w:rPr>
        <w:t>201</w:t>
      </w:r>
      <w:r>
        <w:rPr>
          <w:rFonts w:hint="eastAsia"/>
          <w:color w:val="auto"/>
          <w:lang w:val="en-US" w:eastAsia="zh-CN"/>
        </w:rPr>
        <w:t>3年（含）</w:t>
      </w:r>
      <w:r>
        <w:rPr>
          <w:rFonts w:hint="default"/>
          <w:color w:val="auto"/>
          <w:lang w:val="en-US" w:eastAsia="zh-CN"/>
        </w:rPr>
        <w:t>后</w:t>
      </w:r>
      <w:r>
        <w:rPr>
          <w:rFonts w:hint="eastAsia"/>
          <w:color w:val="auto"/>
          <w:lang w:val="en-US" w:eastAsia="zh-CN"/>
        </w:rPr>
        <w:t>，根据2010系列规范的标准，按正规建设程序</w:t>
      </w:r>
      <w:r>
        <w:rPr>
          <w:rFonts w:hint="default"/>
          <w:color w:val="auto"/>
          <w:lang w:val="en-US" w:eastAsia="zh-CN"/>
        </w:rPr>
        <w:t>设计建造</w:t>
      </w:r>
      <w:r>
        <w:rPr>
          <w:rFonts w:hint="eastAsia"/>
          <w:color w:val="auto"/>
          <w:lang w:val="en-US" w:eastAsia="zh-CN"/>
        </w:rPr>
        <w:t>并投入使用，具有完整有效的建筑和结构竣工图纸等验收资料，使用过程中结构无明显拆改、改变功能或</w:t>
      </w:r>
      <w:r>
        <w:rPr>
          <w:rFonts w:hint="eastAsia"/>
          <w:color w:val="auto"/>
        </w:rPr>
        <w:t>超载使用、灾害损伤（火灾、地震等）</w:t>
      </w:r>
      <w:r>
        <w:rPr>
          <w:rFonts w:hint="eastAsia"/>
          <w:color w:val="auto"/>
          <w:lang w:val="en-US" w:eastAsia="zh-CN"/>
        </w:rPr>
        <w:t>情况的民用建筑</w:t>
      </w:r>
      <w:r>
        <w:rPr>
          <w:rFonts w:hint="eastAsia"/>
          <w:color w:val="auto"/>
          <w:lang w:eastAsia="zh-CN"/>
        </w:rPr>
        <w:t>；</w:t>
      </w:r>
    </w:p>
    <w:bookmarkEnd w:id="4"/>
    <w:p>
      <w:pPr>
        <w:pStyle w:val="36"/>
        <w:bidi w:val="0"/>
        <w:rPr>
          <w:rFonts w:hint="eastAsia"/>
          <w:color w:val="auto"/>
        </w:rPr>
      </w:pPr>
      <w:r>
        <w:rPr>
          <w:rFonts w:hint="default"/>
          <w:color w:val="auto"/>
          <w:lang w:val="en-US" w:eastAsia="zh-CN"/>
        </w:rPr>
        <w:t>201</w:t>
      </w:r>
      <w:r>
        <w:rPr>
          <w:rFonts w:hint="eastAsia"/>
          <w:color w:val="auto"/>
          <w:lang w:val="en-US" w:eastAsia="zh-CN"/>
        </w:rPr>
        <w:t>3年（含）</w:t>
      </w:r>
      <w:r>
        <w:rPr>
          <w:rFonts w:hint="default"/>
          <w:color w:val="auto"/>
          <w:lang w:val="en-US" w:eastAsia="zh-CN"/>
        </w:rPr>
        <w:t>后</w:t>
      </w:r>
      <w:r>
        <w:rPr>
          <w:rFonts w:hint="eastAsia"/>
          <w:color w:val="auto"/>
          <w:lang w:val="en-US" w:eastAsia="zh-CN"/>
        </w:rPr>
        <w:t>，</w:t>
      </w:r>
      <w:r>
        <w:rPr>
          <w:rFonts w:hint="eastAsia"/>
          <w:color w:val="auto"/>
          <w:highlight w:val="none"/>
          <w:lang w:val="en-US" w:eastAsia="zh-CN"/>
        </w:rPr>
        <w:t>部分</w:t>
      </w:r>
      <w:r>
        <w:rPr>
          <w:rFonts w:hint="eastAsia"/>
          <w:color w:val="auto"/>
          <w:lang w:val="en-US" w:eastAsia="zh-CN"/>
        </w:rPr>
        <w:t>根据2010系列规范的标准，按正规建设程序</w:t>
      </w:r>
      <w:r>
        <w:rPr>
          <w:rFonts w:hint="default"/>
          <w:color w:val="auto"/>
          <w:lang w:val="en-US" w:eastAsia="zh-CN"/>
        </w:rPr>
        <w:t>设计建造</w:t>
      </w:r>
      <w:r>
        <w:rPr>
          <w:rFonts w:hint="eastAsia"/>
          <w:color w:val="auto"/>
          <w:lang w:val="en-US" w:eastAsia="zh-CN"/>
        </w:rPr>
        <w:t>并投入使用，具有完整有效的建筑和结构竣工图纸等验收资料，结构无违规拆改、改变功能或</w:t>
      </w:r>
      <w:r>
        <w:rPr>
          <w:rFonts w:hint="eastAsia"/>
          <w:color w:val="auto"/>
        </w:rPr>
        <w:t>超载使用、灾害损伤（火灾、地震等）</w:t>
      </w:r>
      <w:r>
        <w:rPr>
          <w:rFonts w:hint="eastAsia"/>
          <w:color w:val="auto"/>
          <w:lang w:val="en-US" w:eastAsia="zh-CN"/>
        </w:rPr>
        <w:t>情况，经专家论证通过的民用建筑</w:t>
      </w:r>
      <w:r>
        <w:rPr>
          <w:rFonts w:hint="eastAsia"/>
          <w:color w:val="auto"/>
          <w:lang w:eastAsia="zh-CN"/>
        </w:rPr>
        <w:t>。</w:t>
      </w:r>
    </w:p>
    <w:p>
      <w:pPr>
        <w:pStyle w:val="26"/>
        <w:bidi w:val="0"/>
        <w:rPr>
          <w:rFonts w:hint="eastAsia"/>
          <w:color w:val="auto"/>
          <w:lang w:val="en-US" w:eastAsia="zh-CN"/>
        </w:rPr>
      </w:pPr>
      <w:r>
        <w:rPr>
          <w:rFonts w:hint="eastAsia"/>
          <w:color w:val="auto"/>
          <w:lang w:val="en-US" w:eastAsia="zh-CN"/>
        </w:rPr>
        <w:t>【条文说明】本条款中“完整有效”指图纸完整，且具有正式签字、盖章（包括注册章、审图章、出图章等）的图纸。施工验收资料一般至少需提供经五方责任主体签字的单位工程验收记录。“改变功能”主要是指导致结构构件承担的荷载增加的功能改变。</w:t>
      </w:r>
    </w:p>
    <w:p>
      <w:pPr>
        <w:pStyle w:val="26"/>
        <w:bidi w:val="0"/>
        <w:rPr>
          <w:rFonts w:hint="default"/>
          <w:color w:val="auto"/>
          <w:lang w:val="en-US" w:eastAsia="zh-CN"/>
        </w:rPr>
      </w:pPr>
      <w:r>
        <w:rPr>
          <w:rFonts w:hint="eastAsia"/>
          <w:color w:val="auto"/>
          <w:lang w:val="en-US" w:eastAsia="zh-CN"/>
        </w:rPr>
        <w:t>本导则中“2010系列规范”指《建筑结构荷载规范》GB 50009-2012、《砌体结构设计规范》GB 50003-2011、《混凝土结构设计规范》GB 50010-2010 、《钢结构设计规范》GB 50017-2003、《木结构设计规范》GB 50005-2003、《建筑抗震设计规范》GB 50011-2010等；其中《建筑结构荷载规范》GB 50009-2012于2012年10月1日实施，《砌体结构设计规范》GB 50003-2011于2012年8月1日实施，《混凝土结构设计规范》GB 50010-2010于2011年7月1日实施，《建筑抗震设计规范》GB 50011-2010于2010年12月1日实施，综上，2013年开始，各类民用建筑结构设计基本执行2010系列规范。“部分根据2010系列规范的标准”指建筑设计时部分依据2001系列标准，部分依据2010系列标准。</w:t>
      </w:r>
    </w:p>
    <w:p>
      <w:pPr>
        <w:pStyle w:val="5"/>
        <w:numPr>
          <w:ilvl w:val="2"/>
          <w:numId w:val="0"/>
        </w:numPr>
        <w:bidi w:val="0"/>
        <w:ind w:leftChars="0"/>
        <w:rPr>
          <w:rFonts w:hint="eastAsia" w:asciiTheme="majorEastAsia" w:hAnsiTheme="majorEastAsia" w:eastAsiaTheme="majorEastAsia" w:cstheme="majorEastAsia"/>
          <w:color w:val="auto"/>
          <w:kern w:val="0"/>
          <w:sz w:val="24"/>
          <w:szCs w:val="24"/>
          <w:lang w:val="en-US" w:eastAsia="zh-CN" w:bidi="ar"/>
        </w:rPr>
      </w:pPr>
      <w:r>
        <w:rPr>
          <w:rFonts w:hint="eastAsia" w:asciiTheme="majorEastAsia" w:hAnsiTheme="majorEastAsia" w:eastAsiaTheme="majorEastAsia" w:cstheme="majorEastAsia"/>
          <w:color w:val="auto"/>
          <w:kern w:val="0"/>
          <w:sz w:val="24"/>
          <w:szCs w:val="24"/>
          <w:lang w:val="en-US" w:eastAsia="zh-CN" w:bidi="ar"/>
        </w:rPr>
        <w:t>2.0.2本导则适用于混凝土结构、砌体结构、钢结构、木结构等单层或多层民用建筑安全性鉴定。</w:t>
      </w:r>
    </w:p>
    <w:p>
      <w:pPr>
        <w:pStyle w:val="26"/>
        <w:rPr>
          <w:rFonts w:hint="eastAsia"/>
          <w:color w:val="auto"/>
          <w:lang w:val="en-US" w:eastAsia="zh-CN"/>
        </w:rPr>
      </w:pPr>
      <w:r>
        <w:rPr>
          <w:rFonts w:hint="eastAsia"/>
          <w:color w:val="auto"/>
          <w:lang w:val="en-US" w:eastAsia="zh-CN"/>
        </w:rPr>
        <w:t>【条文说明】本条款中的混凝土结构主要包括框架结构、框架-剪力墙结构、剪力墙结构、排架结构等单层或多层混凝土结构；钢结构主要包括钢框架、门式刚架或排架等单层或多层钢结构。本导则不适用于大跨度结构、长悬臂结构、悬索结构、索膜结构、网架网壳结构等空间相对复杂结构。</w:t>
      </w:r>
    </w:p>
    <w:p>
      <w:pPr>
        <w:pStyle w:val="5"/>
        <w:numPr>
          <w:ilvl w:val="2"/>
          <w:numId w:val="0"/>
        </w:numPr>
        <w:bidi w:val="0"/>
        <w:ind w:leftChars="0"/>
        <w:rPr>
          <w:rFonts w:hint="eastAsia" w:asciiTheme="majorEastAsia" w:hAnsiTheme="majorEastAsia" w:eastAsiaTheme="majorEastAsia" w:cstheme="majorEastAsia"/>
          <w:color w:val="auto"/>
          <w:kern w:val="0"/>
          <w:sz w:val="24"/>
          <w:szCs w:val="24"/>
          <w:lang w:val="en-US" w:eastAsia="zh-CN" w:bidi="ar"/>
        </w:rPr>
      </w:pPr>
      <w:r>
        <w:rPr>
          <w:rFonts w:hint="eastAsia" w:asciiTheme="majorEastAsia" w:hAnsiTheme="majorEastAsia" w:eastAsiaTheme="majorEastAsia" w:cstheme="majorEastAsia"/>
          <w:color w:val="auto"/>
          <w:kern w:val="0"/>
          <w:sz w:val="24"/>
          <w:szCs w:val="24"/>
          <w:lang w:val="en-US" w:eastAsia="zh-CN" w:bidi="ar"/>
        </w:rPr>
        <w:t>2.0.3本导则不适用于应急鉴定、灾后鉴定、施工对相邻建筑影响鉴定、</w:t>
      </w:r>
      <w:r>
        <w:rPr>
          <w:rFonts w:hint="eastAsia" w:asciiTheme="majorEastAsia" w:hAnsiTheme="majorEastAsia" w:eastAsiaTheme="majorEastAsia" w:cstheme="majorEastAsia"/>
          <w:color w:val="auto"/>
          <w:kern w:val="0"/>
          <w:sz w:val="24"/>
          <w:szCs w:val="24"/>
          <w:highlight w:val="none"/>
          <w:lang w:val="en-US" w:eastAsia="zh-CN" w:bidi="ar"/>
        </w:rPr>
        <w:t>抗震鉴定</w:t>
      </w:r>
      <w:r>
        <w:rPr>
          <w:rFonts w:hint="eastAsia" w:asciiTheme="majorEastAsia" w:hAnsiTheme="majorEastAsia" w:eastAsiaTheme="majorEastAsia" w:cstheme="majorEastAsia"/>
          <w:color w:val="auto"/>
          <w:kern w:val="0"/>
          <w:sz w:val="24"/>
          <w:szCs w:val="24"/>
          <w:lang w:val="en-US" w:eastAsia="zh-CN" w:bidi="ar"/>
        </w:rPr>
        <w:t>等专项鉴定。</w:t>
      </w:r>
    </w:p>
    <w:p>
      <w:pPr>
        <w:pStyle w:val="5"/>
        <w:numPr>
          <w:ilvl w:val="2"/>
          <w:numId w:val="0"/>
        </w:numPr>
        <w:bidi w:val="0"/>
        <w:ind w:leftChars="0"/>
        <w:rPr>
          <w:rFonts w:hint="eastAsia" w:asciiTheme="majorEastAsia" w:hAnsiTheme="majorEastAsia" w:eastAsiaTheme="majorEastAsia" w:cstheme="majorEastAsia"/>
          <w:color w:val="auto"/>
          <w:kern w:val="0"/>
          <w:sz w:val="24"/>
          <w:szCs w:val="24"/>
          <w:lang w:val="en-US" w:eastAsia="zh-CN" w:bidi="ar"/>
        </w:rPr>
      </w:pPr>
      <w:r>
        <w:rPr>
          <w:rFonts w:hint="eastAsia" w:asciiTheme="majorEastAsia" w:hAnsiTheme="majorEastAsia" w:eastAsiaTheme="majorEastAsia" w:cstheme="majorEastAsia"/>
          <w:color w:val="auto"/>
          <w:kern w:val="0"/>
          <w:sz w:val="24"/>
          <w:szCs w:val="24"/>
          <w:lang w:val="en-US" w:eastAsia="zh-CN" w:bidi="ar"/>
        </w:rPr>
        <w:t>2.0.4民用建筑安全性微鉴定，应符合本导则规定，本导则未涉及的内容尚应符合国家现行有关标准的规定。</w:t>
      </w:r>
    </w:p>
    <w:p>
      <w:pPr>
        <w:pStyle w:val="26"/>
        <w:bidi w:val="0"/>
        <w:rPr>
          <w:rFonts w:hint="default"/>
          <w:color w:val="auto"/>
          <w:lang w:val="en-US" w:eastAsia="zh-CN"/>
        </w:rPr>
      </w:pPr>
      <w:r>
        <w:rPr>
          <w:rFonts w:hint="default"/>
          <w:color w:val="auto"/>
          <w:lang w:val="en-US" w:eastAsia="zh-CN"/>
        </w:rPr>
        <w:t xml:space="preserve">【条文说明】 </w:t>
      </w:r>
      <w:r>
        <w:rPr>
          <w:rFonts w:hint="eastAsia"/>
          <w:color w:val="auto"/>
          <w:lang w:val="en-US" w:eastAsia="zh-CN"/>
        </w:rPr>
        <w:t>国家现行有关标准和</w:t>
      </w:r>
      <w:r>
        <w:rPr>
          <w:rFonts w:hint="default"/>
          <w:color w:val="auto"/>
          <w:lang w:val="en-US" w:eastAsia="zh-CN"/>
        </w:rPr>
        <w:t xml:space="preserve">规定主要包括： </w:t>
      </w:r>
    </w:p>
    <w:p>
      <w:pPr>
        <w:pStyle w:val="26"/>
        <w:bidi w:val="0"/>
        <w:rPr>
          <w:rFonts w:hint="default"/>
          <w:color w:val="auto"/>
          <w:lang w:val="en-US" w:eastAsia="zh-CN"/>
        </w:rPr>
      </w:pPr>
      <w:r>
        <w:rPr>
          <w:rFonts w:hint="default"/>
          <w:color w:val="auto"/>
          <w:lang w:val="en-US" w:eastAsia="zh-CN"/>
        </w:rPr>
        <w:t>1 国务院发布的有关条例和主管部门发布的有关</w:t>
      </w:r>
      <w:r>
        <w:rPr>
          <w:rFonts w:hint="eastAsia"/>
          <w:color w:val="auto"/>
          <w:lang w:val="en-US" w:eastAsia="zh-CN"/>
        </w:rPr>
        <w:t>文件和</w:t>
      </w:r>
      <w:r>
        <w:rPr>
          <w:rFonts w:hint="default"/>
          <w:color w:val="auto"/>
          <w:lang w:val="en-US" w:eastAsia="zh-CN"/>
        </w:rPr>
        <w:t xml:space="preserve">通知； </w:t>
      </w:r>
    </w:p>
    <w:p>
      <w:pPr>
        <w:pStyle w:val="26"/>
        <w:bidi w:val="0"/>
        <w:rPr>
          <w:rFonts w:hint="default"/>
          <w:color w:val="auto"/>
          <w:lang w:val="en-US" w:eastAsia="zh-CN"/>
        </w:rPr>
      </w:pPr>
      <w:r>
        <w:rPr>
          <w:rFonts w:hint="default"/>
          <w:color w:val="auto"/>
          <w:lang w:val="en-US" w:eastAsia="zh-CN"/>
        </w:rPr>
        <w:t xml:space="preserve">2 </w:t>
      </w:r>
      <w:r>
        <w:rPr>
          <w:rFonts w:hint="eastAsia"/>
          <w:color w:val="auto"/>
          <w:lang w:val="en-US" w:eastAsia="zh-CN"/>
        </w:rPr>
        <w:t>《</w:t>
      </w:r>
      <w:r>
        <w:rPr>
          <w:rFonts w:hint="default"/>
          <w:color w:val="auto"/>
          <w:lang w:val="en-US" w:eastAsia="zh-CN"/>
        </w:rPr>
        <w:t>民用建筑可靠性鉴定标准</w:t>
      </w:r>
      <w:r>
        <w:rPr>
          <w:rFonts w:hint="eastAsia"/>
          <w:color w:val="auto"/>
          <w:lang w:val="en-US" w:eastAsia="zh-CN"/>
        </w:rPr>
        <w:t>》GB 50292</w:t>
      </w:r>
      <w:r>
        <w:rPr>
          <w:rFonts w:hint="default"/>
          <w:color w:val="auto"/>
          <w:lang w:val="en-US" w:eastAsia="zh-CN"/>
        </w:rPr>
        <w:t>等</w:t>
      </w:r>
      <w:r>
        <w:rPr>
          <w:rFonts w:hint="eastAsia"/>
          <w:color w:val="auto"/>
          <w:lang w:val="en-US" w:eastAsia="zh-CN"/>
        </w:rPr>
        <w:t>相关鉴定标准</w:t>
      </w:r>
      <w:r>
        <w:rPr>
          <w:rFonts w:hint="default"/>
          <w:color w:val="auto"/>
          <w:lang w:val="en-US" w:eastAsia="zh-CN"/>
        </w:rPr>
        <w:t xml:space="preserve">； </w:t>
      </w:r>
    </w:p>
    <w:p>
      <w:pPr>
        <w:pStyle w:val="26"/>
        <w:bidi w:val="0"/>
        <w:rPr>
          <w:rFonts w:hint="default"/>
          <w:color w:val="auto"/>
          <w:lang w:val="en-US" w:eastAsia="zh-CN"/>
        </w:rPr>
        <w:sectPr>
          <w:headerReference r:id="rId8" w:type="default"/>
          <w:footerReference r:id="rId9" w:type="default"/>
          <w:pgSz w:w="11906" w:h="16838"/>
          <w:pgMar w:top="1440" w:right="1800" w:bottom="1440" w:left="1800" w:header="851" w:footer="992" w:gutter="0"/>
          <w:pgNumType w:fmt="decimal"/>
          <w:cols w:space="425" w:num="1"/>
          <w:docGrid w:type="lines" w:linePitch="312" w:charSpace="0"/>
        </w:sectPr>
      </w:pPr>
      <w:r>
        <w:rPr>
          <w:rFonts w:hint="default"/>
          <w:color w:val="auto"/>
          <w:lang w:val="en-US" w:eastAsia="zh-CN"/>
        </w:rPr>
        <w:t xml:space="preserve">3 </w:t>
      </w:r>
      <w:r>
        <w:rPr>
          <w:rFonts w:hint="eastAsia"/>
          <w:color w:val="auto"/>
          <w:lang w:val="en-US" w:eastAsia="zh-CN"/>
        </w:rPr>
        <w:t>《既有建筑鉴定与加固通用规范》GB 55021等</w:t>
      </w:r>
      <w:r>
        <w:rPr>
          <w:rFonts w:hint="default"/>
          <w:color w:val="auto"/>
          <w:lang w:val="en-US" w:eastAsia="zh-CN"/>
        </w:rPr>
        <w:t>通用规范、各类</w:t>
      </w:r>
      <w:r>
        <w:rPr>
          <w:rFonts w:hint="eastAsia"/>
          <w:color w:val="auto"/>
          <w:lang w:val="en-US" w:eastAsia="zh-CN"/>
        </w:rPr>
        <w:t>设计、施工及验收</w:t>
      </w:r>
      <w:r>
        <w:rPr>
          <w:rFonts w:hint="default"/>
          <w:color w:val="auto"/>
          <w:lang w:val="en-US" w:eastAsia="zh-CN"/>
        </w:rPr>
        <w:t>标准中有关建筑结构</w:t>
      </w:r>
      <w:r>
        <w:rPr>
          <w:rFonts w:hint="eastAsia"/>
          <w:color w:val="auto"/>
          <w:lang w:val="en-US" w:eastAsia="zh-CN"/>
        </w:rPr>
        <w:t>建造</w:t>
      </w:r>
      <w:r>
        <w:rPr>
          <w:rFonts w:hint="default"/>
          <w:color w:val="auto"/>
          <w:lang w:val="en-US" w:eastAsia="zh-CN"/>
        </w:rPr>
        <w:t>的标准原则、术语和符号的规定、静力设计的荷载及分项系数取值等。</w:t>
      </w:r>
    </w:p>
    <w:p>
      <w:pPr>
        <w:pStyle w:val="2"/>
        <w:bidi w:val="0"/>
        <w:ind w:left="0" w:leftChars="0" w:firstLine="0" w:firstLineChars="0"/>
        <w:rPr>
          <w:rFonts w:hint="eastAsia"/>
          <w:color w:val="auto"/>
          <w:lang w:val="en-US" w:eastAsia="zh-CN"/>
        </w:rPr>
      </w:pPr>
      <w:bookmarkStart w:id="5" w:name="_Toc12228"/>
      <w:bookmarkStart w:id="6" w:name="_Toc20389"/>
      <w:bookmarkStart w:id="7" w:name="OLE_LINK6"/>
      <w:r>
        <w:rPr>
          <w:rFonts w:hint="eastAsia"/>
          <w:color w:val="auto"/>
          <w:lang w:val="en-US" w:eastAsia="zh-CN"/>
        </w:rPr>
        <w:t>规范性引用文件</w:t>
      </w:r>
      <w:bookmarkEnd w:id="5"/>
      <w:bookmarkEnd w:id="6"/>
    </w:p>
    <w:bookmarkEnd w:id="7"/>
    <w:p>
      <w:pPr>
        <w:numPr>
          <w:ilvl w:val="0"/>
          <w:numId w:val="7"/>
        </w:numPr>
        <w:bidi w:val="0"/>
        <w:ind w:left="425" w:leftChars="0" w:firstLine="55" w:firstLineChars="0"/>
        <w:rPr>
          <w:rFonts w:hint="eastAsia"/>
          <w:color w:val="auto"/>
          <w:lang w:eastAsia="zh-CN"/>
        </w:rPr>
      </w:pPr>
      <w:r>
        <w:rPr>
          <w:rFonts w:hint="eastAsia"/>
          <w:color w:val="auto"/>
          <w:lang w:eastAsia="zh-CN"/>
        </w:rPr>
        <w:t>《混凝土结构通用规范》GB</w:t>
      </w:r>
      <w:r>
        <w:rPr>
          <w:rFonts w:hint="eastAsia"/>
          <w:color w:val="auto"/>
          <w:lang w:val="en-US" w:eastAsia="zh-CN"/>
        </w:rPr>
        <w:t xml:space="preserve"> </w:t>
      </w:r>
      <w:r>
        <w:rPr>
          <w:rFonts w:hint="eastAsia"/>
          <w:color w:val="auto"/>
          <w:lang w:eastAsia="zh-CN"/>
        </w:rPr>
        <w:t xml:space="preserve">55008 </w:t>
      </w:r>
    </w:p>
    <w:p>
      <w:pPr>
        <w:numPr>
          <w:ilvl w:val="0"/>
          <w:numId w:val="7"/>
        </w:numPr>
        <w:bidi w:val="0"/>
        <w:ind w:left="425" w:leftChars="0" w:firstLine="55" w:firstLineChars="0"/>
        <w:rPr>
          <w:rFonts w:hint="eastAsia"/>
          <w:color w:val="auto"/>
          <w:lang w:eastAsia="zh-CN"/>
        </w:rPr>
      </w:pPr>
      <w:r>
        <w:rPr>
          <w:rFonts w:hint="eastAsia"/>
          <w:color w:val="auto"/>
          <w:lang w:eastAsia="zh-CN"/>
        </w:rPr>
        <w:t>《砌体结构通用规范》GB</w:t>
      </w:r>
      <w:r>
        <w:rPr>
          <w:rFonts w:hint="eastAsia"/>
          <w:color w:val="auto"/>
          <w:lang w:val="en-US" w:eastAsia="zh-CN"/>
        </w:rPr>
        <w:t xml:space="preserve"> </w:t>
      </w:r>
      <w:r>
        <w:rPr>
          <w:rFonts w:hint="eastAsia"/>
          <w:color w:val="auto"/>
          <w:lang w:eastAsia="zh-CN"/>
        </w:rPr>
        <w:t xml:space="preserve">55007 </w:t>
      </w:r>
    </w:p>
    <w:p>
      <w:pPr>
        <w:numPr>
          <w:ilvl w:val="0"/>
          <w:numId w:val="7"/>
        </w:numPr>
        <w:bidi w:val="0"/>
        <w:ind w:left="425" w:leftChars="0" w:firstLine="55" w:firstLineChars="0"/>
        <w:rPr>
          <w:rFonts w:hint="eastAsia"/>
          <w:color w:val="auto"/>
          <w:lang w:eastAsia="zh-CN"/>
        </w:rPr>
      </w:pPr>
      <w:r>
        <w:rPr>
          <w:rFonts w:hint="eastAsia"/>
          <w:color w:val="auto"/>
          <w:lang w:eastAsia="zh-CN"/>
        </w:rPr>
        <w:t>《钢结构通用规范》GB</w:t>
      </w:r>
      <w:r>
        <w:rPr>
          <w:rFonts w:hint="eastAsia"/>
          <w:color w:val="auto"/>
          <w:lang w:val="en-US" w:eastAsia="zh-CN"/>
        </w:rPr>
        <w:t xml:space="preserve"> </w:t>
      </w:r>
      <w:r>
        <w:rPr>
          <w:rFonts w:hint="eastAsia"/>
          <w:color w:val="auto"/>
          <w:lang w:eastAsia="zh-CN"/>
        </w:rPr>
        <w:t xml:space="preserve">55006 </w:t>
      </w:r>
    </w:p>
    <w:p>
      <w:pPr>
        <w:numPr>
          <w:ilvl w:val="0"/>
          <w:numId w:val="7"/>
        </w:numPr>
        <w:bidi w:val="0"/>
        <w:ind w:left="425" w:leftChars="0" w:firstLine="55" w:firstLineChars="0"/>
        <w:rPr>
          <w:rFonts w:hint="eastAsia"/>
          <w:color w:val="auto"/>
          <w:lang w:eastAsia="zh-CN"/>
        </w:rPr>
      </w:pPr>
      <w:r>
        <w:rPr>
          <w:rFonts w:hint="eastAsia"/>
          <w:color w:val="auto"/>
          <w:lang w:eastAsia="zh-CN"/>
        </w:rPr>
        <w:t>《木结构通用规范》GB</w:t>
      </w:r>
      <w:r>
        <w:rPr>
          <w:rFonts w:hint="eastAsia"/>
          <w:color w:val="auto"/>
          <w:lang w:val="en-US" w:eastAsia="zh-CN"/>
        </w:rPr>
        <w:t xml:space="preserve"> </w:t>
      </w:r>
      <w:r>
        <w:rPr>
          <w:rFonts w:hint="eastAsia"/>
          <w:color w:val="auto"/>
          <w:lang w:eastAsia="zh-CN"/>
        </w:rPr>
        <w:t xml:space="preserve">55005 </w:t>
      </w:r>
    </w:p>
    <w:p>
      <w:pPr>
        <w:numPr>
          <w:ilvl w:val="0"/>
          <w:numId w:val="7"/>
        </w:numPr>
        <w:bidi w:val="0"/>
        <w:ind w:left="425" w:leftChars="0" w:firstLine="55" w:firstLineChars="0"/>
        <w:rPr>
          <w:rFonts w:hint="eastAsia"/>
          <w:color w:val="auto"/>
          <w:lang w:eastAsia="zh-CN"/>
        </w:rPr>
      </w:pPr>
      <w:r>
        <w:rPr>
          <w:rFonts w:hint="eastAsia"/>
          <w:color w:val="auto"/>
          <w:lang w:eastAsia="zh-CN"/>
        </w:rPr>
        <w:t>《既有建筑鉴定与加固通用规范》GB</w:t>
      </w:r>
      <w:r>
        <w:rPr>
          <w:rFonts w:hint="eastAsia"/>
          <w:color w:val="auto"/>
          <w:lang w:val="en-US" w:eastAsia="zh-CN"/>
        </w:rPr>
        <w:t xml:space="preserve"> </w:t>
      </w:r>
      <w:r>
        <w:rPr>
          <w:rFonts w:hint="eastAsia"/>
          <w:color w:val="auto"/>
          <w:lang w:eastAsia="zh-CN"/>
        </w:rPr>
        <w:t>55021</w:t>
      </w:r>
    </w:p>
    <w:p>
      <w:pPr>
        <w:numPr>
          <w:ilvl w:val="0"/>
          <w:numId w:val="7"/>
        </w:numPr>
        <w:bidi w:val="0"/>
        <w:ind w:left="425" w:leftChars="0" w:firstLine="55" w:firstLineChars="0"/>
        <w:rPr>
          <w:rFonts w:hint="eastAsia"/>
          <w:color w:val="auto"/>
          <w:lang w:eastAsia="zh-CN"/>
        </w:rPr>
      </w:pPr>
      <w:r>
        <w:rPr>
          <w:rFonts w:hint="eastAsia"/>
          <w:color w:val="auto"/>
          <w:lang w:eastAsia="zh-CN"/>
        </w:rPr>
        <w:t>《民用建筑可靠性鉴定标准》 GB 50292</w:t>
      </w:r>
    </w:p>
    <w:p>
      <w:pPr>
        <w:numPr>
          <w:ilvl w:val="0"/>
          <w:numId w:val="7"/>
        </w:numPr>
        <w:bidi w:val="0"/>
        <w:ind w:left="425" w:leftChars="0" w:firstLine="55" w:firstLineChars="0"/>
        <w:rPr>
          <w:rFonts w:hint="default"/>
          <w:color w:val="auto"/>
          <w:lang w:val="en-US" w:eastAsia="zh-CN"/>
        </w:rPr>
      </w:pPr>
      <w:r>
        <w:rPr>
          <w:rFonts w:hint="eastAsia"/>
          <w:color w:val="auto"/>
          <w:lang w:val="en-US" w:eastAsia="zh-CN"/>
        </w:rPr>
        <w:t>《江苏省既有房屋鉴定标准》DGJ 32/TJ 214</w:t>
      </w:r>
    </w:p>
    <w:p>
      <w:pPr>
        <w:numPr>
          <w:ilvl w:val="0"/>
          <w:numId w:val="7"/>
        </w:numPr>
        <w:bidi w:val="0"/>
        <w:ind w:left="425" w:leftChars="0" w:firstLine="55" w:firstLineChars="0"/>
        <w:rPr>
          <w:rFonts w:hint="eastAsia"/>
          <w:color w:val="auto"/>
          <w:lang w:val="en-US" w:eastAsia="zh-CN"/>
        </w:rPr>
      </w:pPr>
      <w:r>
        <w:rPr>
          <w:rFonts w:hint="eastAsia"/>
          <w:color w:val="auto"/>
          <w:lang w:val="en-US" w:eastAsia="zh-CN"/>
        </w:rPr>
        <w:t>《建筑抗震设计标准》GB/T 50011</w:t>
      </w:r>
    </w:p>
    <w:p>
      <w:pPr>
        <w:numPr>
          <w:ilvl w:val="0"/>
          <w:numId w:val="7"/>
        </w:numPr>
        <w:bidi w:val="0"/>
        <w:ind w:left="425" w:leftChars="0" w:firstLine="55" w:firstLineChars="0"/>
        <w:rPr>
          <w:rFonts w:hint="default"/>
          <w:color w:val="auto"/>
          <w:lang w:val="en-US" w:eastAsia="zh-CN"/>
        </w:rPr>
      </w:pPr>
      <w:r>
        <w:rPr>
          <w:rFonts w:hint="eastAsia"/>
          <w:color w:val="auto"/>
          <w:lang w:eastAsia="zh-CN"/>
        </w:rPr>
        <w:t>《</w:t>
      </w:r>
      <w:r>
        <w:rPr>
          <w:rFonts w:hint="eastAsia"/>
          <w:color w:val="auto"/>
          <w:lang w:val="en-US" w:eastAsia="zh-CN"/>
        </w:rPr>
        <w:t>混凝土结构设计标准</w:t>
      </w:r>
      <w:r>
        <w:rPr>
          <w:rFonts w:hint="eastAsia"/>
          <w:color w:val="auto"/>
          <w:lang w:eastAsia="zh-CN"/>
        </w:rPr>
        <w:t>》</w:t>
      </w:r>
      <w:r>
        <w:rPr>
          <w:rFonts w:hint="eastAsia"/>
          <w:color w:val="auto"/>
          <w:lang w:val="en-US" w:eastAsia="zh-CN"/>
        </w:rPr>
        <w:t>GB/T 50010</w:t>
      </w:r>
    </w:p>
    <w:p>
      <w:pPr>
        <w:numPr>
          <w:ilvl w:val="0"/>
          <w:numId w:val="7"/>
        </w:numPr>
        <w:bidi w:val="0"/>
        <w:ind w:left="425" w:leftChars="0" w:firstLine="55" w:firstLineChars="0"/>
        <w:rPr>
          <w:rFonts w:hint="eastAsia"/>
          <w:color w:val="auto"/>
          <w:lang w:val="en-US" w:eastAsia="zh-CN"/>
        </w:rPr>
      </w:pPr>
      <w:r>
        <w:rPr>
          <w:rFonts w:hint="eastAsia"/>
          <w:color w:val="auto"/>
          <w:lang w:val="en-US" w:eastAsia="zh-CN"/>
        </w:rPr>
        <w:t xml:space="preserve">《砌体结构设计规范》GB 50003 </w:t>
      </w:r>
    </w:p>
    <w:p>
      <w:pPr>
        <w:numPr>
          <w:ilvl w:val="0"/>
          <w:numId w:val="7"/>
        </w:numPr>
        <w:bidi w:val="0"/>
        <w:ind w:left="425" w:leftChars="0" w:firstLine="55" w:firstLineChars="0"/>
        <w:rPr>
          <w:rFonts w:hint="eastAsia"/>
          <w:color w:val="auto"/>
          <w:lang w:val="en-US" w:eastAsia="zh-CN"/>
        </w:rPr>
      </w:pPr>
      <w:r>
        <w:rPr>
          <w:rFonts w:hint="eastAsia"/>
          <w:color w:val="auto"/>
          <w:lang w:val="en-US" w:eastAsia="zh-CN"/>
        </w:rPr>
        <w:t xml:space="preserve">《钢结构设计标准》GB 50017 </w:t>
      </w:r>
    </w:p>
    <w:p>
      <w:pPr>
        <w:numPr>
          <w:ilvl w:val="0"/>
          <w:numId w:val="7"/>
        </w:numPr>
        <w:bidi w:val="0"/>
        <w:ind w:left="425" w:leftChars="0" w:firstLine="55" w:firstLineChars="0"/>
        <w:rPr>
          <w:rFonts w:hint="eastAsia"/>
          <w:color w:val="auto"/>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color w:val="auto"/>
          <w:lang w:val="en-US" w:eastAsia="zh-CN"/>
        </w:rPr>
        <w:t xml:space="preserve">《木结构设计标准》GB 50005 </w:t>
      </w:r>
    </w:p>
    <w:p>
      <w:pPr>
        <w:pStyle w:val="2"/>
        <w:bidi w:val="0"/>
        <w:ind w:left="0" w:leftChars="0" w:firstLine="0" w:firstLineChars="0"/>
        <w:rPr>
          <w:color w:val="auto"/>
        </w:rPr>
      </w:pPr>
      <w:bookmarkStart w:id="8" w:name="_Toc23441"/>
      <w:bookmarkStart w:id="9" w:name="_Toc21732"/>
      <w:bookmarkStart w:id="10" w:name="_Toc18964"/>
      <w:r>
        <w:rPr>
          <w:color w:val="auto"/>
          <w:lang w:val="en-US" w:eastAsia="zh-CN"/>
        </w:rPr>
        <w:t>术语</w:t>
      </w:r>
      <w:r>
        <w:rPr>
          <w:rFonts w:hint="eastAsia"/>
          <w:color w:val="auto"/>
          <w:lang w:val="en-US" w:eastAsia="zh-CN"/>
        </w:rPr>
        <w:t>和</w:t>
      </w:r>
      <w:r>
        <w:rPr>
          <w:color w:val="auto"/>
          <w:lang w:val="en-US" w:eastAsia="zh-CN"/>
        </w:rPr>
        <w:t>符号</w:t>
      </w:r>
      <w:bookmarkEnd w:id="8"/>
      <w:bookmarkEnd w:id="9"/>
      <w:bookmarkEnd w:id="10"/>
    </w:p>
    <w:p>
      <w:pPr>
        <w:pStyle w:val="3"/>
        <w:bidi w:val="0"/>
        <w:ind w:left="0" w:leftChars="0" w:firstLine="0" w:firstLineChars="0"/>
        <w:rPr>
          <w:rFonts w:hint="eastAsia"/>
          <w:color w:val="auto"/>
          <w:lang w:val="en-US" w:eastAsia="zh-CN"/>
        </w:rPr>
      </w:pPr>
      <w:bookmarkStart w:id="11" w:name="_Toc7351"/>
      <w:bookmarkStart w:id="12" w:name="_Toc17415"/>
      <w:r>
        <w:rPr>
          <w:rFonts w:hint="eastAsia"/>
          <w:color w:val="auto"/>
          <w:lang w:val="en-US" w:eastAsia="zh-CN"/>
        </w:rPr>
        <w:t>术语</w:t>
      </w:r>
      <w:bookmarkEnd w:id="11"/>
      <w:bookmarkEnd w:id="12"/>
    </w:p>
    <w:p>
      <w:pPr>
        <w:pStyle w:val="26"/>
        <w:bidi w:val="0"/>
        <w:rPr>
          <w:rFonts w:hint="default"/>
          <w:color w:val="auto"/>
          <w:lang w:val="en-US" w:eastAsia="zh-CN"/>
        </w:rPr>
      </w:pPr>
      <w:r>
        <w:rPr>
          <w:rFonts w:hint="eastAsia"/>
          <w:color w:val="auto"/>
          <w:lang w:val="en-US" w:eastAsia="zh-CN"/>
        </w:rPr>
        <w:t>【条文说明】本导则</w:t>
      </w:r>
      <w:r>
        <w:rPr>
          <w:rFonts w:hint="default"/>
          <w:color w:val="auto"/>
          <w:lang w:val="en-US" w:eastAsia="zh-CN"/>
        </w:rPr>
        <w:t>采用的术语及其</w:t>
      </w:r>
      <w:r>
        <w:rPr>
          <w:rFonts w:hint="eastAsia"/>
          <w:color w:val="auto"/>
          <w:lang w:val="en-US" w:eastAsia="zh-CN"/>
        </w:rPr>
        <w:t>定义</w:t>
      </w:r>
      <w:r>
        <w:rPr>
          <w:rFonts w:hint="default"/>
          <w:color w:val="auto"/>
          <w:lang w:val="en-US" w:eastAsia="zh-CN"/>
        </w:rPr>
        <w:t>，是根据下列原则确定的：</w:t>
      </w:r>
    </w:p>
    <w:p>
      <w:pPr>
        <w:pStyle w:val="26"/>
        <w:bidi w:val="0"/>
        <w:rPr>
          <w:rFonts w:hint="default"/>
          <w:color w:val="auto"/>
          <w:lang w:val="en-US" w:eastAsia="zh-CN"/>
        </w:rPr>
      </w:pPr>
      <w:r>
        <w:rPr>
          <w:rFonts w:hint="default"/>
          <w:color w:val="auto"/>
          <w:lang w:val="en-US" w:eastAsia="zh-CN"/>
        </w:rPr>
        <w:t xml:space="preserve">1 </w:t>
      </w:r>
      <w:r>
        <w:rPr>
          <w:rFonts w:hint="eastAsia"/>
          <w:color w:val="auto"/>
          <w:lang w:val="en-US" w:eastAsia="zh-CN"/>
        </w:rPr>
        <w:t>主要参考《</w:t>
      </w:r>
      <w:r>
        <w:rPr>
          <w:rFonts w:hint="default"/>
          <w:color w:val="auto"/>
          <w:lang w:val="en-US" w:eastAsia="zh-CN"/>
        </w:rPr>
        <w:t>工程结构设计基本术语标准</w:t>
      </w:r>
      <w:r>
        <w:rPr>
          <w:rFonts w:hint="eastAsia"/>
          <w:color w:val="auto"/>
          <w:lang w:val="en-US" w:eastAsia="zh-CN"/>
        </w:rPr>
        <w:t>》</w:t>
      </w:r>
      <w:r>
        <w:rPr>
          <w:rFonts w:hint="default"/>
          <w:color w:val="auto"/>
          <w:lang w:val="en-US" w:eastAsia="zh-CN"/>
        </w:rPr>
        <w:t>GB</w:t>
      </w:r>
      <w:r>
        <w:rPr>
          <w:rFonts w:hint="eastAsia"/>
          <w:color w:val="auto"/>
          <w:lang w:val="en-US" w:eastAsia="zh-CN"/>
        </w:rPr>
        <w:t>/</w:t>
      </w:r>
      <w:r>
        <w:rPr>
          <w:rFonts w:hint="default"/>
          <w:color w:val="auto"/>
          <w:lang w:val="en-US" w:eastAsia="zh-CN"/>
        </w:rPr>
        <w:t>T 50083</w:t>
      </w:r>
      <w:r>
        <w:rPr>
          <w:rFonts w:hint="eastAsia"/>
          <w:color w:val="auto"/>
          <w:lang w:val="en-US" w:eastAsia="zh-CN"/>
        </w:rPr>
        <w:t>、《民用建筑设计术语标准》GB 50504、《合格评级词汇和通用原则》GB/T 27000等标准并结合民用建筑鉴定领域的实际使用情况进行定义</w:t>
      </w:r>
      <w:r>
        <w:rPr>
          <w:rFonts w:hint="default"/>
          <w:color w:val="auto"/>
          <w:lang w:val="en-US" w:eastAsia="zh-CN"/>
        </w:rPr>
        <w:t>；</w:t>
      </w:r>
    </w:p>
    <w:p>
      <w:pPr>
        <w:pStyle w:val="26"/>
        <w:bidi w:val="0"/>
        <w:rPr>
          <w:rFonts w:hint="default"/>
          <w:color w:val="auto"/>
          <w:lang w:val="en-US" w:eastAsia="zh-CN"/>
        </w:rPr>
      </w:pPr>
      <w:r>
        <w:rPr>
          <w:rFonts w:hint="default"/>
          <w:color w:val="auto"/>
          <w:lang w:val="en-US" w:eastAsia="zh-CN"/>
        </w:rPr>
        <w:t>2</w:t>
      </w:r>
      <w:r>
        <w:rPr>
          <w:rFonts w:hint="eastAsia"/>
          <w:color w:val="auto"/>
          <w:lang w:val="en-US" w:eastAsia="zh-CN"/>
        </w:rPr>
        <w:t xml:space="preserve"> </w:t>
      </w:r>
      <w:r>
        <w:rPr>
          <w:rFonts w:hint="default"/>
          <w:color w:val="auto"/>
          <w:lang w:val="en-US" w:eastAsia="zh-CN"/>
        </w:rPr>
        <w:t>现行工程建设国家标准未规定的，</w:t>
      </w:r>
      <w:r>
        <w:rPr>
          <w:rFonts w:hint="eastAsia"/>
          <w:color w:val="auto"/>
          <w:lang w:val="en-US" w:eastAsia="zh-CN"/>
        </w:rPr>
        <w:t>本导则</w:t>
      </w:r>
      <w:r>
        <w:rPr>
          <w:rFonts w:hint="default"/>
          <w:color w:val="auto"/>
          <w:lang w:val="en-US" w:eastAsia="zh-CN"/>
        </w:rPr>
        <w:t>给出定义和说明；</w:t>
      </w:r>
    </w:p>
    <w:p>
      <w:pPr>
        <w:pStyle w:val="26"/>
        <w:bidi w:val="0"/>
        <w:rPr>
          <w:rFonts w:hint="default"/>
          <w:color w:val="auto"/>
          <w:lang w:val="en-US" w:eastAsia="zh-CN"/>
        </w:rPr>
      </w:pPr>
      <w:r>
        <w:rPr>
          <w:rFonts w:hint="default"/>
          <w:color w:val="auto"/>
          <w:lang w:val="en-US" w:eastAsia="zh-CN"/>
        </w:rPr>
        <w:t>3</w:t>
      </w:r>
      <w:r>
        <w:rPr>
          <w:rFonts w:hint="eastAsia"/>
          <w:color w:val="auto"/>
          <w:lang w:val="en-US" w:eastAsia="zh-CN"/>
        </w:rPr>
        <w:t xml:space="preserve"> </w:t>
      </w:r>
      <w:r>
        <w:rPr>
          <w:rFonts w:hint="default"/>
          <w:color w:val="auto"/>
          <w:lang w:val="en-US" w:eastAsia="zh-CN"/>
        </w:rPr>
        <w:t>现行工程建设国家标准已有该术语及其说明，但</w:t>
      </w:r>
      <w:r>
        <w:rPr>
          <w:rFonts w:hint="eastAsia"/>
          <w:color w:val="auto"/>
          <w:lang w:val="en-US" w:eastAsia="zh-CN"/>
        </w:rPr>
        <w:t>用于本导则，其</w:t>
      </w:r>
      <w:r>
        <w:rPr>
          <w:rFonts w:hint="default"/>
          <w:color w:val="auto"/>
          <w:lang w:val="en-US" w:eastAsia="zh-CN"/>
        </w:rPr>
        <w:t>表达</w:t>
      </w:r>
      <w:r>
        <w:rPr>
          <w:rFonts w:hint="eastAsia"/>
          <w:color w:val="auto"/>
          <w:lang w:val="en-US" w:eastAsia="zh-CN"/>
        </w:rPr>
        <w:t>涵义不准确</w:t>
      </w:r>
      <w:r>
        <w:rPr>
          <w:rFonts w:hint="default"/>
          <w:color w:val="auto"/>
          <w:lang w:val="en-US" w:eastAsia="zh-CN"/>
        </w:rPr>
        <w:t>或</w:t>
      </w:r>
      <w:r>
        <w:rPr>
          <w:rFonts w:hint="eastAsia"/>
          <w:color w:val="auto"/>
          <w:lang w:val="en-US" w:eastAsia="zh-CN"/>
        </w:rPr>
        <w:t>涵义</w:t>
      </w:r>
      <w:r>
        <w:rPr>
          <w:rFonts w:hint="default"/>
          <w:color w:val="auto"/>
          <w:lang w:val="en-US" w:eastAsia="zh-CN"/>
        </w:rPr>
        <w:t>内容不全时，</w:t>
      </w:r>
      <w:r>
        <w:rPr>
          <w:rFonts w:hint="eastAsia"/>
          <w:color w:val="auto"/>
          <w:lang w:val="en-US" w:eastAsia="zh-CN"/>
        </w:rPr>
        <w:t>本导则</w:t>
      </w:r>
      <w:r>
        <w:rPr>
          <w:rFonts w:hint="default"/>
          <w:color w:val="auto"/>
          <w:lang w:val="en-US" w:eastAsia="zh-CN"/>
        </w:rPr>
        <w:t>完善其定义和说明</w:t>
      </w:r>
      <w:r>
        <w:rPr>
          <w:rFonts w:hint="eastAsia"/>
          <w:color w:val="auto"/>
          <w:lang w:val="en-US" w:eastAsia="zh-CN"/>
        </w:rPr>
        <w:t>；</w:t>
      </w:r>
    </w:p>
    <w:p>
      <w:pPr>
        <w:pStyle w:val="26"/>
        <w:bidi w:val="0"/>
        <w:rPr>
          <w:rFonts w:hint="default"/>
          <w:color w:val="auto"/>
          <w:lang w:val="en-US" w:eastAsia="zh-CN"/>
        </w:rPr>
      </w:pPr>
      <w:r>
        <w:rPr>
          <w:rFonts w:hint="eastAsia"/>
          <w:color w:val="auto"/>
          <w:lang w:val="en-US" w:eastAsia="zh-CN"/>
        </w:rPr>
        <w:t>4 除本导则定义的术语外，其他术语</w:t>
      </w:r>
      <w:r>
        <w:rPr>
          <w:rFonts w:hint="default"/>
          <w:color w:val="auto"/>
          <w:lang w:val="en-US" w:eastAsia="zh-CN"/>
        </w:rPr>
        <w:t>凡现行工程建设国家标准已规定的，一律加以引用，不再另行给出定义或说明</w:t>
      </w:r>
      <w:r>
        <w:rPr>
          <w:rFonts w:hint="eastAsia"/>
          <w:color w:val="auto"/>
          <w:lang w:val="en-US" w:eastAsia="zh-CN"/>
        </w:rPr>
        <w:t>。</w:t>
      </w:r>
    </w:p>
    <w:p>
      <w:pPr>
        <w:pStyle w:val="5"/>
        <w:bidi w:val="0"/>
        <w:ind w:left="0" w:leftChars="0" w:firstLine="0" w:firstLineChars="0"/>
        <w:rPr>
          <w:rFonts w:hint="eastAsia"/>
          <w:color w:val="auto"/>
          <w:lang w:val="en-US" w:eastAsia="zh-CN"/>
        </w:rPr>
      </w:pPr>
      <w:r>
        <w:rPr>
          <w:rFonts w:hint="eastAsia"/>
          <w:color w:val="auto"/>
          <w:lang w:val="en-US" w:eastAsia="zh-CN"/>
        </w:rPr>
        <w:t>民用建筑 civil building</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已建成可以验收的和已投入使用的非生产性的居住建筑和公共建筑。</w:t>
      </w:r>
    </w:p>
    <w:p>
      <w:pPr>
        <w:pStyle w:val="5"/>
        <w:bidi w:val="0"/>
        <w:ind w:left="0" w:leftChars="0" w:firstLine="0" w:firstLineChars="0"/>
        <w:rPr>
          <w:rFonts w:hint="default"/>
          <w:color w:val="auto"/>
          <w:lang w:val="en-US" w:eastAsia="zh-CN"/>
        </w:rPr>
      </w:pPr>
      <w:r>
        <w:rPr>
          <w:rFonts w:hint="eastAsia"/>
          <w:color w:val="auto"/>
          <w:lang w:val="en-US" w:eastAsia="zh-CN"/>
        </w:rPr>
        <w:t>安全性</w:t>
      </w:r>
      <w:r>
        <w:rPr>
          <w:rFonts w:hint="default"/>
          <w:color w:val="auto"/>
          <w:lang w:val="en-US" w:eastAsia="zh-CN"/>
        </w:rPr>
        <w:t xml:space="preserve"> </w:t>
      </w:r>
      <w:r>
        <w:rPr>
          <w:rFonts w:hint="eastAsia"/>
          <w:color w:val="auto"/>
          <w:lang w:val="en-US" w:eastAsia="zh-CN"/>
        </w:rPr>
        <w:t>safety</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lang w:val="en-US" w:eastAsia="zh-CN"/>
        </w:rPr>
      </w:pPr>
      <w:r>
        <w:rPr>
          <w:rFonts w:hint="default"/>
          <w:color w:val="auto"/>
          <w:lang w:val="en-US" w:eastAsia="zh-CN"/>
        </w:rPr>
        <w:t>结构在正常施工和正常使用条件下，承受可能出现的各种作用的能力，以及在偶然事件发生时和发生后，仍保持必要的整体稳定性的能力</w:t>
      </w:r>
      <w:r>
        <w:rPr>
          <w:rFonts w:hint="eastAsia"/>
          <w:color w:val="auto"/>
          <w:lang w:val="en-US" w:eastAsia="zh-CN"/>
        </w:rPr>
        <w:t>。</w:t>
      </w:r>
    </w:p>
    <w:p>
      <w:pPr>
        <w:pStyle w:val="26"/>
        <w:bidi w:val="0"/>
        <w:rPr>
          <w:rFonts w:hint="default"/>
          <w:color w:val="auto"/>
          <w:lang w:val="en-US" w:eastAsia="zh-CN"/>
        </w:rPr>
      </w:pPr>
      <w:r>
        <w:rPr>
          <w:rFonts w:hint="default"/>
          <w:color w:val="auto"/>
          <w:lang w:val="en-US" w:eastAsia="zh-CN"/>
        </w:rPr>
        <w:t>【条文说明】</w:t>
      </w:r>
      <w:r>
        <w:rPr>
          <w:rFonts w:hint="eastAsia"/>
          <w:color w:val="auto"/>
          <w:lang w:val="en-US" w:eastAsia="zh-CN"/>
        </w:rPr>
        <w:t>结构应满足下列功能要求：①能承受正常施工和使用期间可能出现的各种作用；②保持良好的使用性能③具有足够的耐久性能；④当发生火灾时，在规定的时间内可保持足够的承载力；</w:t>
      </w:r>
      <w:r>
        <w:rPr>
          <w:rFonts w:hint="eastAsia" w:ascii="宋体" w:hAnsi="宋体" w:eastAsia="宋体" w:cs="宋体"/>
          <w:color w:val="auto"/>
          <w:lang w:val="en-US" w:eastAsia="zh-CN"/>
        </w:rPr>
        <w:t>⑤</w:t>
      </w:r>
      <w:r>
        <w:rPr>
          <w:rFonts w:hint="eastAsia"/>
          <w:color w:val="auto"/>
          <w:lang w:val="en-US" w:eastAsia="zh-CN"/>
        </w:rPr>
        <w:t>在偶然事件发生及发生后，能保持必要的整体稳定性，不出现与起因不相称的破坏后果，防止出现结构的连续倒塌。其中①④</w:t>
      </w:r>
      <w:r>
        <w:rPr>
          <w:rFonts w:hint="eastAsia" w:ascii="宋体" w:hAnsi="宋体" w:eastAsia="宋体" w:cs="宋体"/>
          <w:color w:val="auto"/>
          <w:lang w:val="en-US" w:eastAsia="zh-CN"/>
        </w:rPr>
        <w:t>⑤</w:t>
      </w:r>
      <w:r>
        <w:rPr>
          <w:rFonts w:hint="eastAsia"/>
          <w:color w:val="auto"/>
          <w:lang w:val="en-US" w:eastAsia="zh-CN"/>
        </w:rPr>
        <w:t>为安全性，②为结构适用性要求，③为结构耐久性要求。三者概括为结构可靠性要求。本导则安全性不考虑地震作用。</w:t>
      </w:r>
    </w:p>
    <w:p>
      <w:pPr>
        <w:pStyle w:val="5"/>
        <w:bidi w:val="0"/>
        <w:ind w:left="0" w:leftChars="0" w:firstLine="0" w:firstLineChars="0"/>
        <w:rPr>
          <w:rFonts w:hint="default"/>
          <w:color w:val="auto"/>
          <w:lang w:val="en-US" w:eastAsia="zh-CN"/>
        </w:rPr>
      </w:pPr>
      <w:r>
        <w:rPr>
          <w:rFonts w:hint="eastAsia"/>
          <w:color w:val="auto"/>
          <w:lang w:val="en-US" w:eastAsia="zh-CN"/>
        </w:rPr>
        <w:t xml:space="preserve">安全性鉴定  building safety assessment </w:t>
      </w:r>
    </w:p>
    <w:p>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0"/>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对</w:t>
      </w:r>
      <w:r>
        <w:rPr>
          <w:rFonts w:hint="eastAsia"/>
          <w:color w:val="auto"/>
          <w:lang w:val="en-US" w:eastAsia="zh-CN"/>
        </w:rPr>
        <w:t>民用建筑</w:t>
      </w:r>
      <w:r>
        <w:rPr>
          <w:rFonts w:hint="eastAsia" w:asciiTheme="minorEastAsia" w:hAnsiTheme="minorEastAsia" w:eastAsiaTheme="minorEastAsia" w:cstheme="minorEastAsia"/>
          <w:color w:val="auto"/>
          <w:sz w:val="24"/>
          <w:szCs w:val="24"/>
          <w:lang w:val="en-US" w:eastAsia="zh-CN"/>
        </w:rPr>
        <w:t>的设计、施工、使用进行分析、审查，确定其结构安全性与相关规范标准要求的符合性。</w:t>
      </w:r>
    </w:p>
    <w:p>
      <w:pPr>
        <w:pStyle w:val="26"/>
        <w:bidi w:val="0"/>
        <w:rPr>
          <w:rFonts w:hint="default"/>
          <w:color w:val="auto"/>
          <w:lang w:val="en-US" w:eastAsia="zh-CN"/>
        </w:rPr>
      </w:pPr>
      <w:r>
        <w:rPr>
          <w:rFonts w:hint="default"/>
          <w:color w:val="auto"/>
          <w:lang w:val="en-US" w:eastAsia="zh-CN"/>
        </w:rPr>
        <w:t>【条文说明】</w:t>
      </w:r>
      <w:r>
        <w:rPr>
          <w:rFonts w:hint="eastAsia"/>
          <w:color w:val="auto"/>
          <w:lang w:val="en-US" w:eastAsia="zh-CN"/>
        </w:rPr>
        <w:t>根据联合国灾后响应指南《Post-Disaster Building Safety Assessment》（灾后房屋安全鉴定），美国土木工程师协会（ASCE）标准《Seismic Safety Assessment》（抗震安全鉴定），Assessment指结构性能鉴定，appraisal一般指价值评估，本导则中鉴定采用Assessment。</w:t>
      </w:r>
    </w:p>
    <w:p>
      <w:pPr>
        <w:pStyle w:val="5"/>
        <w:bidi w:val="0"/>
        <w:ind w:left="0" w:leftChars="0" w:firstLine="0" w:firstLineChars="0"/>
        <w:rPr>
          <w:rFonts w:hint="default"/>
          <w:color w:val="auto"/>
          <w:lang w:val="en-US" w:eastAsia="zh-CN"/>
        </w:rPr>
      </w:pPr>
      <w:r>
        <w:rPr>
          <w:rFonts w:hint="eastAsia"/>
          <w:color w:val="auto"/>
          <w:lang w:val="en-US" w:eastAsia="zh-CN"/>
        </w:rPr>
        <w:t>微鉴定 rapid building safety assessment</w:t>
      </w:r>
    </w:p>
    <w:p>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eastAsia"/>
          <w:b w:val="0"/>
          <w:bCs w:val="0"/>
          <w:color w:val="auto"/>
          <w:lang w:val="en-US" w:eastAsia="zh-CN"/>
        </w:rPr>
      </w:pPr>
      <w:r>
        <w:rPr>
          <w:rFonts w:hint="eastAsia"/>
          <w:b w:val="0"/>
          <w:bCs w:val="0"/>
          <w:color w:val="auto"/>
          <w:lang w:val="en-US" w:eastAsia="zh-CN"/>
        </w:rPr>
        <w:t>按本导则规定，主要应用检查必要时结合无损、微损检测验证的方法对建筑安全性进行鉴定，其主要特点是快速、破损面积小。</w:t>
      </w:r>
    </w:p>
    <w:p>
      <w:pPr>
        <w:pStyle w:val="5"/>
        <w:bidi w:val="0"/>
        <w:ind w:left="0" w:leftChars="0" w:firstLine="0" w:firstLineChars="0"/>
        <w:rPr>
          <w:rFonts w:hint="default"/>
          <w:color w:val="auto"/>
          <w:lang w:val="en-US" w:eastAsia="zh-CN"/>
        </w:rPr>
      </w:pPr>
      <w:r>
        <w:rPr>
          <w:rFonts w:hint="eastAsia"/>
          <w:color w:val="auto"/>
          <w:lang w:val="en-US" w:eastAsia="zh-CN"/>
        </w:rPr>
        <w:t xml:space="preserve">结构 </w:t>
      </w:r>
      <w:r>
        <w:rPr>
          <w:rFonts w:hint="default"/>
          <w:color w:val="auto"/>
          <w:lang w:val="en-US" w:eastAsia="zh-CN"/>
        </w:rPr>
        <w:t>structure</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能承受和传递作用并具有适当刚度的由各连接部件组合而成的整体。</w:t>
      </w:r>
    </w:p>
    <w:p>
      <w:pPr>
        <w:pStyle w:val="5"/>
        <w:bidi w:val="0"/>
        <w:ind w:left="0" w:leftChars="0" w:firstLine="0" w:firstLineChars="0"/>
        <w:rPr>
          <w:rFonts w:hint="default"/>
          <w:color w:val="auto"/>
          <w:lang w:val="en-US" w:eastAsia="zh-CN"/>
        </w:rPr>
      </w:pPr>
      <w:r>
        <w:rPr>
          <w:rFonts w:hint="eastAsia"/>
          <w:color w:val="auto"/>
          <w:lang w:val="en-US" w:eastAsia="zh-CN"/>
        </w:rPr>
        <w:t xml:space="preserve">结构体系 </w:t>
      </w:r>
      <w:r>
        <w:rPr>
          <w:rFonts w:hint="default"/>
          <w:color w:val="auto"/>
          <w:lang w:val="en-US" w:eastAsia="zh-CN"/>
        </w:rPr>
        <w:t>structur</w:t>
      </w:r>
      <w:r>
        <w:rPr>
          <w:rFonts w:hint="eastAsia"/>
          <w:color w:val="auto"/>
          <w:lang w:val="en-US" w:eastAsia="zh-CN"/>
        </w:rPr>
        <w:t>al system</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结构中的所有承重构件及其共同工作的方式。</w:t>
      </w:r>
    </w:p>
    <w:p>
      <w:pPr>
        <w:pStyle w:val="5"/>
        <w:bidi w:val="0"/>
        <w:ind w:left="0" w:leftChars="0" w:firstLine="0" w:firstLineChars="0"/>
        <w:rPr>
          <w:rFonts w:hint="default"/>
          <w:color w:val="auto"/>
          <w:lang w:val="en-US" w:eastAsia="zh-CN"/>
        </w:rPr>
      </w:pPr>
      <w:r>
        <w:rPr>
          <w:rFonts w:hint="eastAsia"/>
          <w:color w:val="auto"/>
          <w:lang w:val="en-US" w:eastAsia="zh-CN"/>
        </w:rPr>
        <w:t xml:space="preserve">结构构件 </w:t>
      </w:r>
      <w:r>
        <w:rPr>
          <w:rFonts w:hint="default"/>
          <w:color w:val="auto"/>
          <w:lang w:val="en-US" w:eastAsia="zh-CN"/>
        </w:rPr>
        <w:t>structur</w:t>
      </w:r>
      <w:r>
        <w:rPr>
          <w:rFonts w:hint="eastAsia"/>
          <w:color w:val="auto"/>
          <w:lang w:val="en-US" w:eastAsia="zh-CN"/>
        </w:rPr>
        <w:t>al member</w:t>
      </w:r>
      <w:r>
        <w:rPr>
          <w:rFonts w:hint="default"/>
          <w:color w:val="auto"/>
          <w:lang w:val="en-US" w:eastAsia="zh-CN"/>
        </w:rPr>
        <w:t xml:space="preserve"> </w:t>
      </w:r>
    </w:p>
    <w:p>
      <w:pPr>
        <w:bidi w:val="0"/>
        <w:rPr>
          <w:rFonts w:hint="default"/>
          <w:color w:val="auto"/>
          <w:lang w:val="en-US" w:eastAsia="zh-CN"/>
        </w:rPr>
      </w:pPr>
      <w:r>
        <w:rPr>
          <w:rFonts w:hint="eastAsia"/>
          <w:color w:val="auto"/>
          <w:lang w:val="en-US" w:eastAsia="zh-CN"/>
        </w:rPr>
        <w:t>结构和结构鉴定的基本单位，它可以是单件、组合件或一个片段，如柱、梁、桁架、屋架等。</w:t>
      </w:r>
    </w:p>
    <w:p>
      <w:pPr>
        <w:pStyle w:val="5"/>
        <w:bidi w:val="0"/>
        <w:ind w:left="0" w:leftChars="0" w:firstLine="0" w:firstLineChars="0"/>
        <w:rPr>
          <w:rFonts w:hint="default"/>
          <w:color w:val="auto"/>
          <w:lang w:val="en-US" w:eastAsia="zh-CN"/>
        </w:rPr>
      </w:pPr>
      <w:r>
        <w:rPr>
          <w:rFonts w:hint="eastAsia"/>
          <w:color w:val="auto"/>
          <w:lang w:val="en-US" w:eastAsia="zh-CN"/>
        </w:rPr>
        <w:t>主要构件</w:t>
      </w:r>
      <w:r>
        <w:rPr>
          <w:rFonts w:hint="default"/>
          <w:color w:val="auto"/>
          <w:lang w:val="en-US" w:eastAsia="zh-CN"/>
        </w:rPr>
        <w:t xml:space="preserve"> dominant member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其自身失效将导致其他构件失效，并危及承重结构系统安全工作的结构构件。主要指结构承重骨架构件，如墙、柱竖向承重构件及主梁、主桁架、屋架等主要水平承重构件。 </w:t>
      </w:r>
    </w:p>
    <w:p>
      <w:pPr>
        <w:pStyle w:val="5"/>
        <w:bidi w:val="0"/>
        <w:ind w:left="0" w:leftChars="0" w:firstLine="0" w:firstLineChars="0"/>
        <w:rPr>
          <w:rFonts w:hint="default"/>
          <w:color w:val="auto"/>
          <w:lang w:val="en-US" w:eastAsia="zh-CN"/>
        </w:rPr>
      </w:pPr>
      <w:r>
        <w:rPr>
          <w:rFonts w:hint="default"/>
          <w:color w:val="auto"/>
          <w:lang w:val="en-US" w:eastAsia="zh-CN"/>
        </w:rPr>
        <w:t xml:space="preserve"> </w:t>
      </w:r>
      <w:r>
        <w:rPr>
          <w:rFonts w:hint="eastAsia"/>
          <w:color w:val="auto"/>
          <w:lang w:val="en-US" w:eastAsia="zh-CN"/>
        </w:rPr>
        <w:t>一般构件</w:t>
      </w:r>
      <w:r>
        <w:rPr>
          <w:rFonts w:hint="default"/>
          <w:color w:val="auto"/>
          <w:lang w:val="en-US" w:eastAsia="zh-CN"/>
        </w:rPr>
        <w:t xml:space="preserve"> common member </w:t>
      </w:r>
    </w:p>
    <w:p>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其自身失效为孤立事件，不会导致其他构件失效的结构构件。</w:t>
      </w:r>
    </w:p>
    <w:p>
      <w:pPr>
        <w:pStyle w:val="5"/>
        <w:bidi w:val="0"/>
        <w:ind w:left="0" w:leftChars="0" w:firstLine="0" w:firstLineChars="0"/>
        <w:rPr>
          <w:rFonts w:hint="eastAsia"/>
          <w:color w:val="auto"/>
          <w:lang w:val="en-US" w:eastAsia="zh-CN"/>
        </w:rPr>
      </w:pPr>
      <w:r>
        <w:rPr>
          <w:rFonts w:hint="eastAsia"/>
          <w:color w:val="auto"/>
          <w:lang w:val="en-US" w:eastAsia="zh-CN"/>
        </w:rPr>
        <w:t>竖向承重构件 vertical load-bearing member</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承受建筑竖向荷载并具有一定截面尺寸的点状或线状支撑构件，如柱、墙。</w:t>
      </w:r>
    </w:p>
    <w:p>
      <w:pPr>
        <w:pStyle w:val="5"/>
        <w:bidi w:val="0"/>
        <w:ind w:left="0" w:leftChars="0" w:firstLine="0" w:firstLineChars="0"/>
        <w:rPr>
          <w:rFonts w:hint="default"/>
          <w:color w:val="auto"/>
          <w:lang w:val="en-US" w:eastAsia="zh-CN"/>
        </w:rPr>
      </w:pPr>
      <w:r>
        <w:rPr>
          <w:rFonts w:hint="eastAsia"/>
          <w:color w:val="auto"/>
          <w:lang w:val="en-US" w:eastAsia="zh-CN"/>
        </w:rPr>
        <w:t>围护构件 building enclosure member</w:t>
      </w:r>
    </w:p>
    <w:p>
      <w:pPr>
        <w:bidi w:val="0"/>
        <w:rPr>
          <w:rFonts w:hint="eastAsia"/>
          <w:color w:val="auto"/>
          <w:lang w:val="en-US" w:eastAsia="zh-CN"/>
        </w:rPr>
      </w:pPr>
      <w:r>
        <w:rPr>
          <w:rFonts w:hint="eastAsia"/>
          <w:color w:val="auto"/>
          <w:lang w:val="en-US" w:eastAsia="zh-CN"/>
        </w:rPr>
        <w:t>构成围护系统的自承重构件。</w:t>
      </w:r>
    </w:p>
    <w:p>
      <w:pPr>
        <w:pStyle w:val="5"/>
        <w:bidi w:val="0"/>
        <w:ind w:left="0" w:leftChars="0" w:firstLine="0" w:firstLineChars="0"/>
        <w:rPr>
          <w:rFonts w:hint="default"/>
          <w:color w:val="auto"/>
          <w:lang w:val="en-US" w:eastAsia="zh-CN"/>
        </w:rPr>
      </w:pPr>
      <w:r>
        <w:rPr>
          <w:rFonts w:hint="eastAsia"/>
          <w:color w:val="auto"/>
          <w:lang w:val="en-US" w:eastAsia="zh-CN"/>
        </w:rPr>
        <w:t>缺陷 defect</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施工期间遗留的质量问题，如孔洞、露筋等。</w:t>
      </w:r>
    </w:p>
    <w:p>
      <w:pPr>
        <w:pStyle w:val="5"/>
        <w:bidi w:val="0"/>
        <w:ind w:left="0" w:leftChars="0" w:firstLine="0" w:firstLineChars="0"/>
        <w:rPr>
          <w:rFonts w:hint="default"/>
          <w:color w:val="auto"/>
          <w:lang w:val="en-US" w:eastAsia="zh-CN"/>
        </w:rPr>
      </w:pPr>
      <w:r>
        <w:rPr>
          <w:rFonts w:hint="eastAsia"/>
          <w:color w:val="auto"/>
          <w:lang w:val="en-US" w:eastAsia="zh-CN"/>
        </w:rPr>
        <w:t>损伤 damage</w:t>
      </w:r>
    </w:p>
    <w:p>
      <w:pPr>
        <w:keepNext w:val="0"/>
        <w:keepLines w:val="0"/>
        <w:pageBreakBefore w:val="0"/>
        <w:widowControl w:val="0"/>
        <w:kinsoku/>
        <w:wordWrap/>
        <w:overflowPunct/>
        <w:topLinePunct w:val="0"/>
        <w:autoSpaceDE/>
        <w:autoSpaceDN/>
        <w:bidi w:val="0"/>
        <w:adjustRightInd/>
        <w:snapToGrid/>
        <w:spacing w:line="240" w:lineRule="auto"/>
        <w:ind w:left="0" w:leftChars="0" w:firstLine="480" w:firstLineChars="200"/>
        <w:textAlignment w:val="auto"/>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4"/>
          <w:szCs w:val="24"/>
          <w:lang w:val="en-US" w:eastAsia="zh-CN"/>
        </w:rPr>
        <w:t>构件使用过程中承受各种作用引起的材料截面减小，材料脱落等，如冻融导致截面减小，钢筋锈蚀引起保护层脱落，碰撞引起混凝土受损、木材腐朽等。</w:t>
      </w:r>
    </w:p>
    <w:p>
      <w:pPr>
        <w:pStyle w:val="5"/>
        <w:bidi w:val="0"/>
        <w:ind w:left="0" w:leftChars="0" w:firstLine="0" w:firstLineChars="0"/>
        <w:rPr>
          <w:rFonts w:hint="default"/>
          <w:color w:val="auto"/>
          <w:lang w:val="en-US" w:eastAsia="zh-CN"/>
        </w:rPr>
      </w:pPr>
      <w:r>
        <w:rPr>
          <w:rFonts w:hint="eastAsia"/>
          <w:color w:val="auto"/>
          <w:lang w:val="en-US" w:eastAsia="zh-CN"/>
        </w:rPr>
        <w:t>检测 testing</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按规定的程序取得被检对象一个或多个特性的活动。</w:t>
      </w:r>
    </w:p>
    <w:p>
      <w:pPr>
        <w:pStyle w:val="5"/>
        <w:bidi w:val="0"/>
        <w:ind w:left="0" w:leftChars="0" w:firstLine="0" w:firstLineChars="0"/>
        <w:rPr>
          <w:rFonts w:hint="default"/>
          <w:color w:val="auto"/>
          <w:lang w:val="en-US" w:eastAsia="zh-CN"/>
        </w:rPr>
      </w:pPr>
      <w:r>
        <w:rPr>
          <w:rFonts w:hint="eastAsia"/>
          <w:color w:val="auto"/>
          <w:lang w:val="en-US" w:eastAsia="zh-CN"/>
        </w:rPr>
        <w:t xml:space="preserve">检查 inspection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使用观察简单工具测量方法结合专业经验对被检对象进行合规性验证。</w:t>
      </w:r>
    </w:p>
    <w:p>
      <w:pPr>
        <w:pStyle w:val="5"/>
        <w:bidi w:val="0"/>
        <w:ind w:left="0" w:leftChars="0" w:firstLine="0" w:firstLineChars="0"/>
        <w:rPr>
          <w:rFonts w:hint="default"/>
          <w:color w:val="auto"/>
          <w:lang w:val="en-US" w:eastAsia="zh-CN"/>
        </w:rPr>
      </w:pPr>
      <w:r>
        <w:rPr>
          <w:rFonts w:hint="eastAsia"/>
          <w:color w:val="auto"/>
          <w:lang w:val="en-US" w:eastAsia="zh-CN"/>
        </w:rPr>
        <w:t>调查</w:t>
      </w:r>
      <w:r>
        <w:rPr>
          <w:rFonts w:hint="default"/>
          <w:color w:val="auto"/>
          <w:lang w:val="en-US" w:eastAsia="zh-CN"/>
        </w:rPr>
        <w:t xml:space="preserve"> investigation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 xml:space="preserve">通过查阅档案文件、现场勘查和询问等手段进行信息收集。        </w:t>
      </w:r>
    </w:p>
    <w:p>
      <w:pPr>
        <w:pStyle w:val="5"/>
        <w:bidi w:val="0"/>
        <w:ind w:left="0" w:leftChars="0" w:firstLine="0" w:firstLineChars="0"/>
        <w:rPr>
          <w:rFonts w:hint="default"/>
          <w:color w:val="auto"/>
          <w:lang w:val="en-US" w:eastAsia="zh-CN"/>
        </w:rPr>
      </w:pPr>
      <w:r>
        <w:rPr>
          <w:rFonts w:hint="eastAsia"/>
          <w:color w:val="auto"/>
          <w:lang w:val="en-US" w:eastAsia="zh-CN"/>
        </w:rPr>
        <w:t>鉴定项目</w:t>
      </w:r>
      <w:r>
        <w:rPr>
          <w:rFonts w:hint="default"/>
          <w:color w:val="auto"/>
          <w:lang w:val="en-US" w:eastAsia="zh-CN"/>
        </w:rPr>
        <w:t xml:space="preserve"> </w:t>
      </w:r>
      <w:r>
        <w:rPr>
          <w:rFonts w:hint="eastAsia"/>
          <w:color w:val="auto"/>
          <w:lang w:val="en-US" w:eastAsia="zh-CN"/>
        </w:rPr>
        <w:t xml:space="preserve"> assessment item</w:t>
      </w:r>
      <w:r>
        <w:rPr>
          <w:rFonts w:hint="default"/>
          <w:color w:val="auto"/>
          <w:lang w:val="en-US" w:eastAsia="zh-CN"/>
        </w:rPr>
        <w:t xml:space="preserve"> </w:t>
      </w:r>
    </w:p>
    <w:p>
      <w:pPr>
        <w:bidi w:val="0"/>
        <w:rPr>
          <w:rFonts w:hint="default"/>
          <w:color w:val="auto"/>
          <w:lang w:val="en-US" w:eastAsia="zh-CN"/>
        </w:rPr>
      </w:pPr>
      <w:r>
        <w:rPr>
          <w:rFonts w:hint="eastAsia"/>
          <w:color w:val="auto"/>
          <w:lang w:val="en-US" w:eastAsia="zh-CN"/>
        </w:rPr>
        <w:t>根据鉴定内容设置的细分项目，可再细分为检查项目、验算项目等。</w:t>
      </w:r>
    </w:p>
    <w:p>
      <w:pPr>
        <w:pStyle w:val="5"/>
        <w:bidi w:val="0"/>
        <w:ind w:left="0" w:leftChars="0" w:firstLine="0" w:firstLineChars="0"/>
        <w:rPr>
          <w:rFonts w:hint="default"/>
          <w:color w:val="auto"/>
          <w:lang w:val="en-US" w:eastAsia="zh-CN"/>
        </w:rPr>
      </w:pPr>
      <w:r>
        <w:rPr>
          <w:rFonts w:hint="eastAsia"/>
          <w:color w:val="auto"/>
          <w:lang w:val="en-US" w:eastAsia="zh-CN"/>
        </w:rPr>
        <w:t>检查项目</w:t>
      </w:r>
      <w:r>
        <w:rPr>
          <w:rFonts w:hint="default"/>
          <w:color w:val="auto"/>
          <w:lang w:val="en-US" w:eastAsia="zh-CN"/>
        </w:rPr>
        <w:t xml:space="preserve"> inspection items of member </w:t>
      </w:r>
    </w:p>
    <w:p>
      <w:pPr>
        <w:bidi w:val="0"/>
        <w:rPr>
          <w:rFonts w:hint="eastAsia"/>
          <w:color w:val="auto"/>
          <w:lang w:val="en-US" w:eastAsia="zh-CN"/>
        </w:rPr>
      </w:pPr>
      <w:r>
        <w:rPr>
          <w:rFonts w:hint="eastAsia"/>
          <w:color w:val="auto"/>
          <w:lang w:val="en-US" w:eastAsia="zh-CN"/>
        </w:rPr>
        <w:t>针对结构安全性影响因素所确定的采用观察或简单工具测量的项目。</w:t>
      </w:r>
    </w:p>
    <w:p>
      <w:pPr>
        <w:pStyle w:val="5"/>
        <w:bidi w:val="0"/>
        <w:ind w:left="0" w:leftChars="0" w:firstLine="0" w:firstLineChars="0"/>
        <w:rPr>
          <w:rFonts w:hint="default"/>
          <w:color w:val="auto"/>
          <w:lang w:val="en-US" w:eastAsia="zh-CN"/>
        </w:rPr>
      </w:pPr>
      <w:r>
        <w:rPr>
          <w:rFonts w:hint="eastAsia"/>
          <w:color w:val="auto"/>
          <w:lang w:val="en-US" w:eastAsia="zh-CN"/>
        </w:rPr>
        <w:t xml:space="preserve">验算项目 calculation </w:t>
      </w:r>
      <w:r>
        <w:rPr>
          <w:rFonts w:hint="default"/>
          <w:color w:val="auto"/>
          <w:lang w:val="en-US" w:eastAsia="zh-CN"/>
        </w:rPr>
        <w:t>items of member</w:t>
      </w:r>
    </w:p>
    <w:p>
      <w:pPr>
        <w:bidi w:val="0"/>
        <w:rPr>
          <w:rFonts w:hint="eastAsia"/>
          <w:color w:val="auto"/>
          <w:lang w:val="en-US" w:eastAsia="zh-CN"/>
        </w:rPr>
      </w:pPr>
      <w:r>
        <w:rPr>
          <w:rFonts w:hint="eastAsia"/>
          <w:color w:val="auto"/>
          <w:lang w:val="en-US" w:eastAsia="zh-CN"/>
        </w:rPr>
        <w:t>针对结构安全性影响因素所确定需验算复核的项目。</w:t>
      </w:r>
    </w:p>
    <w:p>
      <w:pPr>
        <w:pStyle w:val="3"/>
        <w:bidi w:val="0"/>
        <w:ind w:left="0" w:leftChars="0" w:firstLine="0" w:firstLineChars="0"/>
        <w:rPr>
          <w:color w:val="auto"/>
        </w:rPr>
      </w:pPr>
      <w:bookmarkStart w:id="13" w:name="_Toc10292"/>
      <w:bookmarkStart w:id="14" w:name="_Toc21814"/>
      <w:r>
        <w:rPr>
          <w:rFonts w:hint="eastAsia"/>
          <w:color w:val="auto"/>
          <w:lang w:val="en-US" w:eastAsia="zh-CN"/>
        </w:rPr>
        <w:t>符号</w:t>
      </w:r>
      <w:bookmarkEnd w:id="13"/>
      <w:bookmarkEnd w:id="14"/>
    </w:p>
    <w:p>
      <w:pPr>
        <w:pStyle w:val="5"/>
        <w:bidi w:val="0"/>
        <w:ind w:left="0" w:leftChars="0" w:firstLine="0" w:firstLineChars="0"/>
        <w:rPr>
          <w:rFonts w:hint="eastAsia"/>
          <w:color w:val="auto"/>
          <w:lang w:val="en-US" w:eastAsia="zh-CN"/>
        </w:rPr>
      </w:pPr>
      <w:r>
        <w:rPr>
          <w:rFonts w:hint="eastAsia"/>
          <w:color w:val="auto"/>
          <w:lang w:val="en-US" w:eastAsia="zh-CN"/>
        </w:rPr>
        <w:t xml:space="preserve">结构性能、作用效应及几何尺寸： </w:t>
      </w:r>
    </w:p>
    <w:p>
      <w:pPr>
        <w:rPr>
          <w:rFonts w:hint="default"/>
          <w:color w:val="auto"/>
          <w:lang w:val="en-US"/>
        </w:rPr>
      </w:pPr>
      <w:r>
        <w:rPr>
          <w:rFonts w:hint="default"/>
          <w:color w:val="auto"/>
        </w:rPr>
        <w:t>A</w:t>
      </w:r>
      <w:r>
        <w:rPr>
          <w:rFonts w:hint="eastAsia" w:ascii="宋体" w:hAnsi="宋体" w:eastAsia="宋体" w:cs="宋体"/>
          <w:color w:val="auto"/>
          <w:kern w:val="0"/>
          <w:sz w:val="24"/>
          <w:szCs w:val="24"/>
          <w:lang w:val="en-US" w:eastAsia="zh-CN" w:bidi="ar"/>
        </w:rPr>
        <w:t>——</w:t>
      </w:r>
      <w:r>
        <w:rPr>
          <w:rFonts w:hint="eastAsia"/>
          <w:color w:val="auto"/>
          <w:lang w:val="en-US" w:eastAsia="zh-CN"/>
        </w:rPr>
        <w:t>受压杆件毛截面面积；</w:t>
      </w:r>
    </w:p>
    <w:p>
      <w:pPr>
        <w:rPr>
          <w:rFonts w:hint="eastAsia"/>
          <w:color w:val="auto"/>
          <w:lang w:val="en-US" w:eastAsia="zh-CN"/>
        </w:rPr>
      </w:pPr>
      <w:r>
        <w:rPr>
          <w:rFonts w:hint="default"/>
          <w:i/>
          <w:iCs/>
          <w:color w:val="auto"/>
        </w:rPr>
        <w:t>f</w:t>
      </w:r>
      <w:r>
        <w:rPr>
          <w:rFonts w:hint="eastAsia" w:ascii="宋体" w:hAnsi="宋体" w:eastAsia="宋体" w:cs="宋体"/>
          <w:color w:val="auto"/>
          <w:kern w:val="0"/>
          <w:sz w:val="24"/>
          <w:szCs w:val="24"/>
          <w:lang w:val="en-US" w:eastAsia="zh-CN" w:bidi="ar"/>
        </w:rPr>
        <w:t>——</w:t>
      </w:r>
      <w:r>
        <w:rPr>
          <w:rFonts w:hint="eastAsia"/>
          <w:color w:val="auto"/>
          <w:lang w:val="en-US" w:eastAsia="zh-CN"/>
        </w:rPr>
        <w:t>钢材抗拉、抗压和抗弯强度设计值；</w:t>
      </w:r>
    </w:p>
    <w:p>
      <w:pPr>
        <w:rPr>
          <w:rFonts w:hint="default" w:hAnsi="Cambria Math"/>
          <w:i/>
          <w:iCs/>
          <w:color w:val="auto"/>
          <w:lang w:val="en-US" w:eastAsia="zh-CN"/>
        </w:rPr>
      </w:pPr>
      <m:oMath>
        <m:sSub>
          <m:sSubPr>
            <m:ctrlPr>
              <w:rPr>
                <w:rFonts w:hint="eastAsia" w:ascii="Cambria Math" w:hAnsi="Cambria Math"/>
                <w:i/>
                <w:iCs/>
                <w:color w:val="auto"/>
                <w:lang w:val="en-US" w:eastAsia="zh-CN"/>
              </w:rPr>
            </m:ctrlPr>
          </m:sSubPr>
          <m:e>
            <m:r>
              <m:rPr/>
              <w:rPr>
                <w:rFonts w:hint="default" w:ascii="Cambria Math" w:hAnsi="Cambria Math"/>
                <w:color w:val="auto"/>
                <w:lang w:val="en-US" w:eastAsia="zh-CN"/>
              </w:rPr>
              <m:t>f</m:t>
            </m:r>
            <m:ctrlPr>
              <w:rPr>
                <w:rFonts w:hint="eastAsia" w:ascii="Cambria Math" w:hAnsi="Cambria Math"/>
                <w:i/>
                <w:iCs/>
                <w:color w:val="auto"/>
                <w:lang w:val="en-US" w:eastAsia="zh-CN"/>
              </w:rPr>
            </m:ctrlPr>
          </m:e>
          <m:sub>
            <m:r>
              <m:rPr/>
              <w:rPr>
                <w:rFonts w:hint="default" w:ascii="Cambria Math" w:hAnsi="Cambria Math"/>
                <w:color w:val="auto"/>
                <w:lang w:val="en-US" w:eastAsia="zh-CN"/>
              </w:rPr>
              <m:t>y</m:t>
            </m:r>
            <m:ctrlPr>
              <w:rPr>
                <w:rFonts w:hint="eastAsia" w:ascii="Cambria Math" w:hAnsi="Cambria Math"/>
                <w:i/>
                <w:iCs/>
                <w:color w:val="auto"/>
                <w:lang w:val="en-US" w:eastAsia="zh-CN"/>
              </w:rPr>
            </m:ctrlPr>
          </m:sub>
        </m:sSub>
      </m:oMath>
      <w:r>
        <w:rPr>
          <w:rFonts w:hint="eastAsia" w:ascii="宋体" w:hAnsi="宋体" w:eastAsia="宋体" w:cs="宋体"/>
          <w:i/>
          <w:iCs/>
          <w:color w:val="auto"/>
          <w:kern w:val="0"/>
          <w:sz w:val="24"/>
          <w:szCs w:val="24"/>
          <w:lang w:val="en-US" w:eastAsia="zh-CN" w:bidi="ar"/>
        </w:rPr>
        <w:t>——</w:t>
      </w:r>
      <w:r>
        <w:rPr>
          <w:rFonts w:hint="eastAsia" w:hAnsi="Cambria Math"/>
          <w:i w:val="0"/>
          <w:iCs w:val="0"/>
          <w:color w:val="auto"/>
          <w:lang w:val="en-US" w:eastAsia="zh-CN"/>
        </w:rPr>
        <w:t>钢材屈服强度</w:t>
      </w:r>
      <w:r>
        <w:rPr>
          <w:rFonts w:hint="eastAsia" w:hAnsi="Cambria Math"/>
          <w:i/>
          <w:iCs/>
          <w:color w:val="auto"/>
          <w:lang w:val="en-US" w:eastAsia="zh-CN"/>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r>
        <w:rPr>
          <w:rFonts w:hint="eastAsia" w:ascii="宋体" w:hAnsi="宋体" w:eastAsia="宋体" w:cs="宋体"/>
          <w:i/>
          <w:iCs/>
          <w:color w:val="auto"/>
          <w:kern w:val="0"/>
          <w:sz w:val="24"/>
          <w:szCs w:val="24"/>
          <w:lang w:val="en-US" w:eastAsia="zh-CN" w:bidi="ar"/>
        </w:rPr>
        <w:t>H</w:t>
      </w:r>
      <w:r>
        <w:rPr>
          <w:rFonts w:hint="eastAsia" w:ascii="宋体" w:hAnsi="宋体" w:eastAsia="宋体" w:cs="宋体"/>
          <w:color w:val="auto"/>
          <w:kern w:val="0"/>
          <w:sz w:val="24"/>
          <w:szCs w:val="24"/>
          <w:lang w:val="en-US" w:eastAsia="zh-CN" w:bidi="ar"/>
        </w:rPr>
        <w:t xml:space="preserve">——柱、框架或墙的总高；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m:oMath>
        <m:sSub>
          <m:sSubPr>
            <m:ctrlPr>
              <w:rPr>
                <w:rFonts w:hint="default" w:ascii="Cambria Math" w:hAnsi="Cambria Math" w:cs="宋体"/>
                <w:i/>
                <w:color w:val="auto"/>
                <w:kern w:val="0"/>
                <w:sz w:val="24"/>
                <w:szCs w:val="24"/>
                <w:lang w:val="en-US" w:eastAsia="zh-CN" w:bidi="ar"/>
              </w:rPr>
            </m:ctrlPr>
          </m:sSubPr>
          <m:e>
            <m:r>
              <m:rPr/>
              <w:rPr>
                <w:rFonts w:hint="default" w:ascii="Cambria Math" w:hAnsi="Cambria Math" w:cs="宋体"/>
                <w:color w:val="auto"/>
                <w:kern w:val="0"/>
                <w:sz w:val="24"/>
                <w:szCs w:val="24"/>
                <w:lang w:val="en-US" w:eastAsia="zh-CN" w:bidi="ar"/>
              </w:rPr>
              <m:t>H</m:t>
            </m:r>
            <m:ctrlPr>
              <w:rPr>
                <w:rFonts w:hint="default" w:ascii="Cambria Math" w:hAnsi="Cambria Math" w:cs="宋体"/>
                <w:i/>
                <w:color w:val="auto"/>
                <w:kern w:val="0"/>
                <w:sz w:val="24"/>
                <w:szCs w:val="24"/>
                <w:lang w:val="en-US" w:eastAsia="zh-CN" w:bidi="ar"/>
              </w:rPr>
            </m:ctrlPr>
          </m:e>
          <m:sub>
            <m:r>
              <m:rPr/>
              <w:rPr>
                <w:rFonts w:hint="default" w:ascii="Cambria Math" w:hAnsi="Cambria Math" w:cs="宋体"/>
                <w:color w:val="auto"/>
                <w:kern w:val="0"/>
                <w:sz w:val="24"/>
                <w:szCs w:val="24"/>
                <w:lang w:val="en-US" w:eastAsia="zh-CN" w:bidi="ar"/>
              </w:rPr>
              <m:t>i</m:t>
            </m:r>
            <m:ctrlPr>
              <w:rPr>
                <w:rFonts w:hint="default" w:ascii="Cambria Math" w:hAnsi="Cambria Math" w:cs="宋体"/>
                <w:i/>
                <w:color w:val="auto"/>
                <w:kern w:val="0"/>
                <w:sz w:val="24"/>
                <w:szCs w:val="24"/>
                <w:lang w:val="en-US" w:eastAsia="zh-CN" w:bidi="ar"/>
              </w:rPr>
            </m:ctrlPr>
          </m:sub>
        </m:sSub>
      </m:oMath>
      <w:r>
        <w:rPr>
          <w:rFonts w:hint="eastAsia" w:ascii="宋体" w:hAnsi="宋体" w:eastAsia="宋体" w:cs="宋体"/>
          <w:color w:val="auto"/>
          <w:kern w:val="0"/>
          <w:sz w:val="24"/>
          <w:szCs w:val="24"/>
          <w:lang w:val="en-US" w:eastAsia="zh-CN" w:bidi="ar"/>
        </w:rPr>
        <w:t>——多层</w:t>
      </w:r>
      <w:r>
        <w:rPr>
          <w:rFonts w:hint="eastAsia" w:ascii="宋体" w:hAnsi="宋体" w:cs="宋体"/>
          <w:color w:val="auto"/>
          <w:kern w:val="0"/>
          <w:sz w:val="24"/>
          <w:szCs w:val="24"/>
          <w:lang w:val="en-US" w:eastAsia="zh-CN" w:bidi="ar"/>
        </w:rPr>
        <w:t>建筑</w:t>
      </w:r>
      <w:r>
        <w:rPr>
          <w:rFonts w:hint="eastAsia" w:ascii="宋体" w:hAnsi="宋体" w:eastAsia="宋体" w:cs="宋体"/>
          <w:color w:val="auto"/>
          <w:kern w:val="0"/>
          <w:sz w:val="24"/>
          <w:szCs w:val="24"/>
          <w:lang w:val="en-US" w:eastAsia="zh-CN" w:bidi="ar"/>
        </w:rPr>
        <w:t>第</w:t>
      </w:r>
      <w:r>
        <w:rPr>
          <w:rFonts w:hint="eastAsia" w:ascii="宋体" w:hAnsi="宋体" w:eastAsia="宋体" w:cs="宋体"/>
          <w:i/>
          <w:iCs/>
          <w:color w:val="auto"/>
          <w:kern w:val="0"/>
          <w:sz w:val="24"/>
          <w:szCs w:val="24"/>
          <w:lang w:val="en-US" w:eastAsia="zh-CN" w:bidi="ar"/>
        </w:rPr>
        <w:t xml:space="preserve">i </w:t>
      </w:r>
      <w:r>
        <w:rPr>
          <w:rFonts w:hint="eastAsia" w:ascii="宋体" w:hAnsi="宋体" w:eastAsia="宋体" w:cs="宋体"/>
          <w:color w:val="auto"/>
          <w:kern w:val="0"/>
          <w:sz w:val="24"/>
          <w:szCs w:val="24"/>
          <w:lang w:val="en-US" w:eastAsia="zh-CN" w:bidi="ar"/>
        </w:rPr>
        <w:t xml:space="preserve">层层间高度；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m:oMath>
        <m:sSub>
          <m:sSubPr>
            <m:ctrlPr>
              <w:rPr>
                <w:rFonts w:hint="default" w:ascii="Cambria Math" w:hAnsi="Cambria Math" w:cs="宋体"/>
                <w:i/>
                <w:color w:val="auto"/>
                <w:kern w:val="0"/>
                <w:sz w:val="24"/>
                <w:szCs w:val="24"/>
                <w:lang w:val="en-US" w:eastAsia="zh-CN" w:bidi="ar"/>
              </w:rPr>
            </m:ctrlPr>
          </m:sSubPr>
          <m:e>
            <m:r>
              <m:rPr/>
              <w:rPr>
                <w:rFonts w:hint="default" w:ascii="Cambria Math" w:hAnsi="Cambria Math" w:cs="宋体"/>
                <w:color w:val="auto"/>
                <w:kern w:val="0"/>
                <w:sz w:val="24"/>
                <w:szCs w:val="24"/>
                <w:lang w:val="en-US" w:eastAsia="zh-CN" w:bidi="ar"/>
              </w:rPr>
              <m:t>l</m:t>
            </m:r>
            <m:ctrlPr>
              <w:rPr>
                <w:rFonts w:hint="default" w:ascii="Cambria Math" w:hAnsi="Cambria Math" w:cs="宋体"/>
                <w:i/>
                <w:color w:val="auto"/>
                <w:kern w:val="0"/>
                <w:sz w:val="24"/>
                <w:szCs w:val="24"/>
                <w:lang w:val="en-US" w:eastAsia="zh-CN" w:bidi="ar"/>
              </w:rPr>
            </m:ctrlPr>
          </m:e>
          <m:sub>
            <m:r>
              <m:rPr/>
              <w:rPr>
                <w:rFonts w:hint="eastAsia" w:ascii="Cambria Math" w:hAnsi="Cambria Math" w:cs="宋体"/>
                <w:color w:val="auto"/>
                <w:kern w:val="0"/>
                <w:sz w:val="24"/>
                <w:szCs w:val="24"/>
                <w:lang w:val="en-US" w:eastAsia="zh-CN" w:bidi="ar"/>
              </w:rPr>
              <m:t>0</m:t>
            </m:r>
            <m:ctrlPr>
              <w:rPr>
                <w:rFonts w:hint="default" w:ascii="Cambria Math" w:hAnsi="Cambria Math" w:cs="宋体"/>
                <w:i/>
                <w:color w:val="auto"/>
                <w:kern w:val="0"/>
                <w:sz w:val="24"/>
                <w:szCs w:val="24"/>
                <w:lang w:val="en-US" w:eastAsia="zh-CN" w:bidi="ar"/>
              </w:rPr>
            </m:ctrlPr>
          </m:sub>
        </m:sSub>
      </m:oMath>
      <w:r>
        <w:rPr>
          <w:rFonts w:hint="eastAsia" w:ascii="宋体" w:hAnsi="宋体" w:eastAsia="宋体" w:cs="宋体"/>
          <w:color w:val="auto"/>
          <w:kern w:val="0"/>
          <w:sz w:val="24"/>
          <w:szCs w:val="24"/>
          <w:lang w:val="en-US" w:eastAsia="zh-CN" w:bidi="ar"/>
        </w:rPr>
        <w:t xml:space="preserve">——受弯构件计算跨度；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m:oMath>
        <m:sSub>
          <m:sSubPr>
            <m:ctrlPr>
              <w:rPr>
                <w:rFonts w:hint="default" w:ascii="Cambria Math" w:hAnsi="Cambria Math" w:cs="宋体"/>
                <w:i/>
                <w:color w:val="auto"/>
                <w:kern w:val="0"/>
                <w:sz w:val="24"/>
                <w:szCs w:val="24"/>
                <w:lang w:val="en-US" w:eastAsia="zh-CN" w:bidi="ar"/>
              </w:rPr>
            </m:ctrlPr>
          </m:sSubPr>
          <m:e>
            <m:r>
              <m:rPr/>
              <w:rPr>
                <w:rFonts w:hint="default" w:ascii="Cambria Math" w:hAnsi="Cambria Math" w:cs="宋体"/>
                <w:color w:val="auto"/>
                <w:kern w:val="0"/>
                <w:sz w:val="24"/>
                <w:szCs w:val="24"/>
                <w:lang w:val="en-US" w:eastAsia="zh-CN" w:bidi="ar"/>
              </w:rPr>
              <m:t>l</m:t>
            </m:r>
            <m:ctrlPr>
              <w:rPr>
                <w:rFonts w:hint="default" w:ascii="Cambria Math" w:hAnsi="Cambria Math" w:cs="宋体"/>
                <w:i/>
                <w:color w:val="auto"/>
                <w:kern w:val="0"/>
                <w:sz w:val="24"/>
                <w:szCs w:val="24"/>
                <w:lang w:val="en-US" w:eastAsia="zh-CN" w:bidi="ar"/>
              </w:rPr>
            </m:ctrlPr>
          </m:e>
          <m:sub>
            <m:r>
              <m:rPr/>
              <w:rPr>
                <w:rFonts w:hint="default" w:ascii="Cambria Math" w:hAnsi="Cambria Math" w:cs="宋体"/>
                <w:color w:val="auto"/>
                <w:kern w:val="0"/>
                <w:sz w:val="24"/>
                <w:szCs w:val="24"/>
                <w:lang w:val="en-US" w:eastAsia="zh-CN" w:bidi="ar"/>
              </w:rPr>
              <m:t>s</m:t>
            </m:r>
            <m:ctrlPr>
              <w:rPr>
                <w:rFonts w:hint="default" w:ascii="Cambria Math" w:hAnsi="Cambria Math" w:cs="宋体"/>
                <w:i/>
                <w:color w:val="auto"/>
                <w:kern w:val="0"/>
                <w:sz w:val="24"/>
                <w:szCs w:val="24"/>
                <w:lang w:val="en-US" w:eastAsia="zh-CN" w:bidi="ar"/>
              </w:rPr>
            </m:ctrlPr>
          </m:sub>
        </m:sSub>
      </m:oMath>
      <w:r>
        <w:rPr>
          <w:rFonts w:hint="eastAsia" w:ascii="宋体" w:hAnsi="宋体" w:eastAsia="宋体" w:cs="宋体"/>
          <w:color w:val="auto"/>
          <w:kern w:val="0"/>
          <w:sz w:val="24"/>
          <w:szCs w:val="24"/>
          <w:lang w:val="en-US" w:eastAsia="zh-CN" w:bidi="ar"/>
        </w:rPr>
        <w:t xml:space="preserve">——空间结构的短向计算跨度； </w:t>
      </w:r>
    </w:p>
    <w:p>
      <w:pPr>
        <w:rPr>
          <w:rFonts w:hint="default"/>
          <w:color w:val="auto"/>
          <w:lang w:val="en-US"/>
        </w:rPr>
      </w:pPr>
      <w:r>
        <w:rPr>
          <w:rFonts w:hint="default"/>
          <w:color w:val="auto"/>
        </w:rPr>
        <w:t>N</w:t>
      </w:r>
      <w:r>
        <w:rPr>
          <w:rFonts w:hint="eastAsia" w:ascii="宋体" w:hAnsi="宋体" w:eastAsia="宋体" w:cs="宋体"/>
          <w:color w:val="auto"/>
          <w:kern w:val="0"/>
          <w:sz w:val="24"/>
          <w:szCs w:val="24"/>
          <w:lang w:val="en-US" w:eastAsia="zh-CN" w:bidi="ar"/>
        </w:rPr>
        <w:t>——</w:t>
      </w:r>
      <w:r>
        <w:rPr>
          <w:rFonts w:hint="eastAsia"/>
          <w:color w:val="auto"/>
          <w:lang w:val="en-US" w:eastAsia="zh-CN"/>
        </w:rPr>
        <w:t>杆件轴向力；</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r>
        <w:rPr>
          <w:rFonts w:hint="eastAsia" w:ascii="宋体" w:hAnsi="宋体" w:eastAsia="宋体" w:cs="宋体"/>
          <w:i/>
          <w:iCs/>
          <w:color w:val="auto"/>
          <w:kern w:val="0"/>
          <w:sz w:val="24"/>
          <w:szCs w:val="24"/>
          <w:lang w:val="en-US" w:eastAsia="zh-CN" w:bidi="ar"/>
        </w:rPr>
        <w:t>R</w:t>
      </w:r>
      <w:r>
        <w:rPr>
          <w:rFonts w:hint="eastAsia" w:ascii="宋体" w:hAnsi="宋体" w:eastAsia="宋体" w:cs="宋体"/>
          <w:color w:val="auto"/>
          <w:kern w:val="0"/>
          <w:sz w:val="24"/>
          <w:szCs w:val="24"/>
          <w:lang w:val="en-US" w:eastAsia="zh-CN" w:bidi="ar"/>
        </w:rPr>
        <w:t xml:space="preserve">——结构构件的抗力；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w:r>
        <w:rPr>
          <w:rFonts w:hint="eastAsia" w:ascii="宋体" w:hAnsi="宋体" w:eastAsia="宋体" w:cs="宋体"/>
          <w:i/>
          <w:iCs/>
          <w:color w:val="auto"/>
          <w:kern w:val="0"/>
          <w:sz w:val="24"/>
          <w:szCs w:val="24"/>
          <w:lang w:val="en-US" w:eastAsia="zh-CN" w:bidi="ar"/>
        </w:rPr>
        <w:t>S</w:t>
      </w:r>
      <w:r>
        <w:rPr>
          <w:rFonts w:hint="eastAsia" w:ascii="宋体" w:hAnsi="宋体" w:eastAsia="宋体" w:cs="宋体"/>
          <w:color w:val="auto"/>
          <w:kern w:val="0"/>
          <w:sz w:val="24"/>
          <w:szCs w:val="24"/>
          <w:lang w:val="en-US" w:eastAsia="zh-CN" w:bidi="ar"/>
        </w:rPr>
        <w:t xml:space="preserve">——结构构件的作用效应；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cs="宋体"/>
          <w:color w:val="auto"/>
          <w:kern w:val="0"/>
          <w:sz w:val="24"/>
          <w:szCs w:val="24"/>
          <w:lang w:val="en-US" w:eastAsia="zh-CN" w:bidi="ar"/>
        </w:rPr>
      </w:pPr>
      <w:r>
        <w:rPr>
          <w:rFonts w:hint="default"/>
          <w:color w:val="auto"/>
        </w:rPr>
        <w:t>t</w:t>
      </w:r>
      <w:r>
        <w:rPr>
          <w:rFonts w:hint="eastAsia" w:ascii="宋体" w:hAnsi="宋体" w:eastAsia="宋体" w:cs="宋体"/>
          <w:color w:val="auto"/>
          <w:kern w:val="0"/>
          <w:sz w:val="24"/>
          <w:szCs w:val="24"/>
          <w:lang w:val="en-US" w:eastAsia="zh-CN" w:bidi="ar"/>
        </w:rPr>
        <w:t>——</w:t>
      </w:r>
      <w:r>
        <w:rPr>
          <w:rFonts w:hint="eastAsia"/>
          <w:color w:val="auto"/>
          <w:lang w:val="en-US" w:eastAsia="zh-CN"/>
        </w:rPr>
        <w:t>钢构件截面厚度</w:t>
      </w:r>
      <w:r>
        <w:rPr>
          <w:rFonts w:hint="eastAsia" w:ascii="宋体" w:hAnsi="宋体" w:cs="宋体"/>
          <w:color w:val="auto"/>
          <w:kern w:val="0"/>
          <w:sz w:val="24"/>
          <w:szCs w:val="24"/>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sz w:val="24"/>
          <w:szCs w:val="24"/>
        </w:rPr>
      </w:pPr>
      <m:oMath>
        <m:sSub>
          <m:sSubPr>
            <m:ctrlPr>
              <w:rPr>
                <w:rFonts w:hint="default" w:ascii="Cambria Math" w:hAnsi="Cambria Math" w:cs="宋体"/>
                <w:i/>
                <w:color w:val="auto"/>
                <w:kern w:val="0"/>
                <w:sz w:val="24"/>
                <w:szCs w:val="24"/>
                <w:lang w:val="en-US" w:eastAsia="zh-CN" w:bidi="ar"/>
              </w:rPr>
            </m:ctrlPr>
          </m:sSubPr>
          <m:e>
            <m:r>
              <m:rPr/>
              <w:rPr>
                <w:rFonts w:ascii="Cambria Math" w:hAnsi="Cambria Math" w:cs="宋体"/>
                <w:color w:val="auto"/>
                <w:kern w:val="0"/>
                <w:sz w:val="24"/>
                <w:szCs w:val="24"/>
                <w:lang w:val="en-US" w:bidi="ar"/>
              </w:rPr>
              <m:t>γ</m:t>
            </m:r>
            <m:ctrlPr>
              <w:rPr>
                <w:rFonts w:hint="default" w:ascii="Cambria Math" w:hAnsi="Cambria Math" w:cs="宋体"/>
                <w:i/>
                <w:color w:val="auto"/>
                <w:kern w:val="0"/>
                <w:sz w:val="24"/>
                <w:szCs w:val="24"/>
                <w:lang w:val="en-US" w:eastAsia="zh-CN" w:bidi="ar"/>
              </w:rPr>
            </m:ctrlPr>
          </m:e>
          <m:sub>
            <m:r>
              <m:rPr/>
              <w:rPr>
                <w:rFonts w:hint="eastAsia" w:ascii="Cambria Math" w:hAnsi="Cambria Math" w:cs="宋体"/>
                <w:color w:val="auto"/>
                <w:kern w:val="0"/>
                <w:sz w:val="24"/>
                <w:szCs w:val="24"/>
                <w:lang w:val="en-US" w:eastAsia="zh-CN" w:bidi="ar"/>
              </w:rPr>
              <m:t>0</m:t>
            </m:r>
            <m:ctrlPr>
              <w:rPr>
                <w:rFonts w:hint="default" w:ascii="Cambria Math" w:hAnsi="Cambria Math" w:cs="宋体"/>
                <w:i/>
                <w:color w:val="auto"/>
                <w:kern w:val="0"/>
                <w:sz w:val="24"/>
                <w:szCs w:val="24"/>
                <w:lang w:val="en-US" w:eastAsia="zh-CN" w:bidi="ar"/>
              </w:rPr>
            </m:ctrlPr>
          </m:sub>
        </m:sSub>
      </m:oMath>
      <w:r>
        <w:rPr>
          <w:rFonts w:hint="eastAsia" w:ascii="宋体" w:hAnsi="宋体" w:eastAsia="宋体" w:cs="宋体"/>
          <w:color w:val="auto"/>
          <w:kern w:val="0"/>
          <w:sz w:val="24"/>
          <w:szCs w:val="24"/>
          <w:lang w:val="en-US" w:eastAsia="zh-CN" w:bidi="ar"/>
        </w:rPr>
        <w:t xml:space="preserve">——结构重要性系数； </w:t>
      </w:r>
    </w:p>
    <w:p>
      <w:pPr>
        <w:rPr>
          <w:rFonts w:hint="default"/>
          <w:color w:val="auto"/>
          <w:lang w:val="en-US" w:eastAsia="zh-CN"/>
        </w:rPr>
      </w:pPr>
      <w:r>
        <w:rPr>
          <w:rFonts w:hint="eastAsia"/>
          <w:color w:val="auto"/>
          <w:lang w:eastAsia="zh-CN"/>
        </w:rPr>
        <w:t>σ</w:t>
      </w:r>
      <w:r>
        <w:rPr>
          <w:rFonts w:hint="eastAsia" w:ascii="宋体" w:hAnsi="宋体" w:eastAsia="宋体" w:cs="宋体"/>
          <w:color w:val="auto"/>
          <w:kern w:val="0"/>
          <w:sz w:val="24"/>
          <w:szCs w:val="24"/>
          <w:lang w:val="en-US" w:eastAsia="zh-CN" w:bidi="ar"/>
        </w:rPr>
        <w:t>——</w:t>
      </w:r>
      <w:r>
        <w:rPr>
          <w:rFonts w:hint="eastAsia"/>
          <w:color w:val="auto"/>
          <w:lang w:val="en-US" w:eastAsia="zh-CN"/>
        </w:rPr>
        <w:t>杆件正应力；</w:t>
      </w:r>
    </w:p>
    <w:p>
      <w:pPr>
        <w:rPr>
          <w:rFonts w:hint="eastAsia"/>
          <w:color w:val="auto"/>
          <w:lang w:val="en-US" w:eastAsia="zh-CN"/>
        </w:rPr>
      </w:pPr>
      <w:r>
        <w:rPr>
          <w:rFonts w:hint="default"/>
          <w:color w:val="auto"/>
        </w:rPr>
        <w:t>φ</w:t>
      </w:r>
      <w:r>
        <w:rPr>
          <w:rFonts w:hint="eastAsia" w:ascii="宋体" w:hAnsi="宋体" w:eastAsia="宋体" w:cs="宋体"/>
          <w:color w:val="auto"/>
          <w:kern w:val="0"/>
          <w:sz w:val="24"/>
          <w:szCs w:val="24"/>
          <w:lang w:val="en-US" w:eastAsia="zh-CN" w:bidi="ar"/>
        </w:rPr>
        <w:t>——</w:t>
      </w:r>
      <w:r>
        <w:rPr>
          <w:rFonts w:hint="eastAsia"/>
          <w:color w:val="auto"/>
          <w:lang w:val="en-US" w:eastAsia="zh-CN"/>
        </w:rPr>
        <w:t>轴心受压杆件稳定系数；</w:t>
      </w:r>
    </w:p>
    <w:p>
      <w:pPr>
        <w:pStyle w:val="5"/>
        <w:bidi w:val="0"/>
        <w:ind w:left="0" w:leftChars="0" w:firstLine="0" w:firstLineChars="0"/>
        <w:rPr>
          <w:rFonts w:hint="eastAsia"/>
          <w:color w:val="auto"/>
          <w:lang w:val="en-US" w:eastAsia="zh-CN"/>
        </w:rPr>
      </w:pPr>
      <w:r>
        <w:rPr>
          <w:rFonts w:hint="eastAsia"/>
          <w:color w:val="auto"/>
          <w:lang w:val="en-US" w:eastAsia="zh-CN"/>
        </w:rPr>
        <w:t xml:space="preserve">鉴定评级： </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4"/>
          <w:szCs w:val="24"/>
          <w:lang w:val="en-US" w:eastAsia="zh-CN" w:bidi="ar"/>
        </w:rPr>
      </w:pPr>
      <m:oMath>
        <m:r>
          <m:rPr/>
          <w:rPr>
            <w:rFonts w:hint="default" w:ascii="Cambria Math" w:hAnsi="Cambria Math" w:cs="宋体"/>
            <w:color w:val="auto"/>
            <w:kern w:val="0"/>
            <w:sz w:val="24"/>
            <w:szCs w:val="24"/>
            <w:lang w:val="en-US" w:eastAsia="zh-CN" w:bidi="ar"/>
          </w:rPr>
          <m:t>a</m:t>
        </m:r>
      </m:oMath>
      <w:r>
        <w:rPr>
          <w:rFonts w:hint="eastAsia" w:hAnsi="Cambria Math" w:cs="宋体"/>
          <w:i w:val="0"/>
          <w:color w:val="auto"/>
          <w:kern w:val="0"/>
          <w:sz w:val="24"/>
          <w:szCs w:val="24"/>
          <w:vertAlign w:val="subscript"/>
          <w:lang w:val="en-US" w:eastAsia="zh-CN" w:bidi="ar"/>
        </w:rPr>
        <w:t>u</w:t>
      </w:r>
      <w:r>
        <w:rPr>
          <w:rFonts w:hint="eastAsia" w:ascii="宋体" w:hAnsi="宋体" w:eastAsia="宋体" w:cs="宋体"/>
          <w:color w:val="auto"/>
          <w:kern w:val="0"/>
          <w:sz w:val="24"/>
          <w:szCs w:val="24"/>
          <w:lang w:val="en-US" w:eastAsia="zh-CN" w:bidi="ar"/>
        </w:rPr>
        <w:t>、</w:t>
      </w:r>
      <m:oMath>
        <m:r>
          <m:rPr/>
          <w:rPr>
            <w:rFonts w:hint="default" w:ascii="Cambria Math" w:hAnsi="Cambria Math" w:cs="宋体"/>
            <w:color w:val="auto"/>
            <w:kern w:val="0"/>
            <w:sz w:val="24"/>
            <w:szCs w:val="24"/>
            <w:lang w:val="en-US" w:eastAsia="zh-CN" w:bidi="ar"/>
          </w:rPr>
          <m:t>b</m:t>
        </m:r>
      </m:oMath>
      <w:r>
        <w:rPr>
          <w:rFonts w:hint="eastAsia" w:hAnsi="Cambria Math" w:cs="宋体"/>
          <w:i w:val="0"/>
          <w:color w:val="auto"/>
          <w:kern w:val="0"/>
          <w:sz w:val="24"/>
          <w:szCs w:val="24"/>
          <w:vertAlign w:val="subscript"/>
          <w:lang w:val="en-US" w:eastAsia="zh-CN" w:bidi="ar"/>
        </w:rPr>
        <w:t>u</w:t>
      </w:r>
      <w:r>
        <w:rPr>
          <w:rFonts w:hint="eastAsia" w:ascii="宋体" w:hAnsi="宋体" w:eastAsia="宋体" w:cs="宋体"/>
          <w:color w:val="auto"/>
          <w:kern w:val="0"/>
          <w:sz w:val="24"/>
          <w:szCs w:val="24"/>
          <w:lang w:val="en-US" w:eastAsia="zh-CN" w:bidi="ar"/>
        </w:rPr>
        <w:t>、</w:t>
      </w:r>
      <m:oMath>
        <m:r>
          <m:rPr/>
          <w:rPr>
            <w:rFonts w:hint="default" w:ascii="Cambria Math" w:hAnsi="Cambria Math" w:cs="宋体"/>
            <w:color w:val="auto"/>
            <w:kern w:val="0"/>
            <w:sz w:val="24"/>
            <w:szCs w:val="24"/>
            <w:lang w:val="en-US" w:eastAsia="zh-CN" w:bidi="ar"/>
          </w:rPr>
          <m:t>c</m:t>
        </m:r>
      </m:oMath>
      <w:r>
        <w:rPr>
          <w:rFonts w:hint="eastAsia" w:hAnsi="Cambria Math" w:cs="宋体"/>
          <w:i w:val="0"/>
          <w:color w:val="auto"/>
          <w:kern w:val="0"/>
          <w:sz w:val="24"/>
          <w:szCs w:val="24"/>
          <w:vertAlign w:val="subscript"/>
          <w:lang w:val="en-US" w:eastAsia="zh-CN" w:bidi="ar"/>
        </w:rPr>
        <w:t>u</w:t>
      </w:r>
      <w:r>
        <w:rPr>
          <w:rFonts w:hint="eastAsia" w:hAnsi="Cambria Math" w:cs="宋体"/>
          <w:i w:val="0"/>
          <w:color w:val="auto"/>
          <w:kern w:val="0"/>
          <w:sz w:val="24"/>
          <w:szCs w:val="24"/>
          <w:lang w:val="en-US" w:eastAsia="zh-CN" w:bidi="ar"/>
        </w:rPr>
        <w:t xml:space="preserve"> </w:t>
      </w:r>
      <w:r>
        <w:rPr>
          <w:rFonts w:hint="eastAsia" w:ascii="宋体" w:hAnsi="宋体" w:eastAsia="宋体" w:cs="宋体"/>
          <w:color w:val="auto"/>
          <w:kern w:val="0"/>
          <w:sz w:val="24"/>
          <w:szCs w:val="24"/>
          <w:lang w:val="en-US" w:eastAsia="zh-CN" w:bidi="ar"/>
        </w:rPr>
        <w:t>———构件或其检查项目的安全性等级；</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4"/>
          <w:szCs w:val="24"/>
          <w:lang w:val="en-US" w:eastAsia="zh-CN" w:bidi="ar"/>
        </w:rPr>
      </w:pPr>
      <w:r>
        <w:rPr>
          <w:rFonts w:hint="eastAsia"/>
          <w:color w:val="auto"/>
          <w:lang w:val="en-US" w:eastAsia="zh-CN"/>
        </w:rPr>
        <w:t>A</w:t>
      </w:r>
      <w:r>
        <w:rPr>
          <w:rFonts w:hint="eastAsia"/>
          <w:color w:val="auto"/>
          <w:vertAlign w:val="subscript"/>
          <w:lang w:val="en-US" w:eastAsia="zh-CN"/>
        </w:rPr>
        <w:t>u</w:t>
      </w:r>
      <w:r>
        <w:rPr>
          <w:rFonts w:hint="eastAsia"/>
          <w:color w:val="auto"/>
          <w:lang w:val="en-US" w:eastAsia="zh-CN"/>
        </w:rPr>
        <w:t>、B</w:t>
      </w:r>
      <w:r>
        <w:rPr>
          <w:rFonts w:hint="eastAsia"/>
          <w:color w:val="auto"/>
          <w:vertAlign w:val="subscript"/>
          <w:lang w:val="en-US" w:eastAsia="zh-CN"/>
        </w:rPr>
        <w:t>u</w:t>
      </w:r>
      <w:r>
        <w:rPr>
          <w:rFonts w:hint="eastAsia"/>
          <w:color w:val="auto"/>
          <w:lang w:val="en-US" w:eastAsia="zh-CN"/>
        </w:rPr>
        <w:t>、C</w:t>
      </w:r>
      <w:r>
        <w:rPr>
          <w:rFonts w:hint="eastAsia"/>
          <w:color w:val="auto"/>
          <w:vertAlign w:val="subscript"/>
          <w:lang w:val="en-US" w:eastAsia="zh-CN"/>
        </w:rPr>
        <w:t>u</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地基基础、结构体系、楼层、构件系统</w:t>
      </w:r>
      <w:r>
        <w:rPr>
          <w:rFonts w:hint="eastAsia" w:ascii="宋体" w:hAnsi="宋体" w:eastAsia="宋体" w:cs="宋体"/>
          <w:color w:val="auto"/>
          <w:kern w:val="0"/>
          <w:sz w:val="24"/>
          <w:szCs w:val="24"/>
          <w:lang w:val="en-US" w:eastAsia="zh-CN" w:bidi="ar"/>
        </w:rPr>
        <w:t>的安全性等级；</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 w:val="24"/>
          <w:szCs w:val="24"/>
          <w:lang w:val="en-US" w:eastAsia="zh-CN" w:bidi="ar"/>
        </w:rPr>
      </w:pPr>
      <w:r>
        <w:rPr>
          <w:rFonts w:hint="eastAsia" w:cs="Times New Roman"/>
          <w:i w:val="0"/>
          <w:color w:val="auto"/>
          <w:kern w:val="0"/>
          <w:sz w:val="24"/>
          <w:szCs w:val="24"/>
          <w:vertAlign w:val="baseline"/>
          <w:lang w:val="en-US" w:eastAsia="zh-CN" w:bidi="ar"/>
        </w:rPr>
        <w:t>A</w:t>
      </w:r>
      <w:r>
        <w:rPr>
          <w:rFonts w:hint="default" w:ascii="Times New Roman" w:hAnsi="Times New Roman" w:cs="Times New Roman"/>
          <w:i w:val="0"/>
          <w:color w:val="auto"/>
          <w:kern w:val="0"/>
          <w:sz w:val="24"/>
          <w:szCs w:val="24"/>
          <w:vertAlign w:val="subscript"/>
          <w:lang w:val="en-US" w:eastAsia="zh-CN" w:bidi="ar"/>
        </w:rPr>
        <w:t>su</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B</w:t>
      </w:r>
      <w:r>
        <w:rPr>
          <w:rFonts w:hint="default" w:ascii="Times New Roman" w:hAnsi="Times New Roman" w:cs="Times New Roman"/>
          <w:i w:val="0"/>
          <w:color w:val="auto"/>
          <w:kern w:val="0"/>
          <w:sz w:val="24"/>
          <w:szCs w:val="24"/>
          <w:vertAlign w:val="subscript"/>
          <w:lang w:val="en-US" w:eastAsia="zh-CN" w:bidi="ar"/>
        </w:rPr>
        <w:t>su</w:t>
      </w:r>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m:oMath>
        <m:r>
          <m:rPr/>
          <w:rPr>
            <w:rFonts w:hint="default" w:ascii="Cambria Math" w:hAnsi="Cambria Math" w:cs="宋体"/>
            <w:color w:val="auto"/>
            <w:kern w:val="0"/>
            <w:sz w:val="24"/>
            <w:szCs w:val="24"/>
            <w:lang w:val="en-US" w:eastAsia="zh-CN" w:bidi="ar"/>
          </w:rPr>
          <m:t xml:space="preserve"> </m:t>
        </m:r>
      </m:oMath>
      <w:r>
        <w:rPr>
          <w:rFonts w:hint="eastAsia" w:ascii="宋体" w:hAnsi="宋体" w:eastAsia="宋体" w:cs="宋体"/>
          <w:color w:val="auto"/>
          <w:kern w:val="0"/>
          <w:sz w:val="24"/>
          <w:szCs w:val="24"/>
          <w:lang w:val="en-US" w:eastAsia="zh-CN" w:bidi="ar"/>
        </w:rPr>
        <w:t>———</w:t>
      </w:r>
      <w:r>
        <w:rPr>
          <w:rFonts w:hint="eastAsia" w:ascii="宋体" w:hAnsi="宋体" w:cs="宋体"/>
          <w:color w:val="auto"/>
          <w:kern w:val="0"/>
          <w:sz w:val="24"/>
          <w:szCs w:val="24"/>
          <w:lang w:val="en-US" w:eastAsia="zh-CN" w:bidi="ar"/>
        </w:rPr>
        <w:t>建筑整体</w:t>
      </w:r>
      <w:r>
        <w:rPr>
          <w:rFonts w:hint="eastAsia" w:ascii="宋体" w:hAnsi="宋体" w:eastAsia="宋体" w:cs="宋体"/>
          <w:color w:val="auto"/>
          <w:kern w:val="0"/>
          <w:sz w:val="24"/>
          <w:szCs w:val="24"/>
          <w:lang w:val="en-US" w:eastAsia="zh-CN" w:bidi="ar"/>
        </w:rPr>
        <w:t>的安全性等级；</w:t>
      </w:r>
    </w:p>
    <w:p>
      <w:pPr>
        <w:pStyle w:val="26"/>
        <w:bidi w:val="0"/>
        <w:rPr>
          <w:rFonts w:hint="eastAsia" w:ascii="Times New Roman" w:hAnsi="Times New Roman"/>
          <w:color w:val="auto"/>
          <w:lang w:val="en-US" w:eastAsia="zh-CN"/>
        </w:rPr>
        <w:sectPr>
          <w:pgSz w:w="11906" w:h="16838"/>
          <w:pgMar w:top="1440" w:right="1800" w:bottom="1440" w:left="1800" w:header="851" w:footer="992" w:gutter="0"/>
          <w:pgNumType w:fmt="decimal"/>
          <w:cols w:space="425" w:num="1"/>
          <w:docGrid w:type="lines" w:linePitch="312" w:charSpace="0"/>
        </w:sectPr>
      </w:pPr>
    </w:p>
    <w:p>
      <w:pPr>
        <w:pStyle w:val="2"/>
        <w:bidi w:val="0"/>
        <w:ind w:left="0" w:leftChars="0" w:firstLine="0" w:firstLineChars="0"/>
        <w:rPr>
          <w:rFonts w:hint="eastAsia"/>
          <w:color w:val="auto"/>
          <w:lang w:val="en-US" w:eastAsia="zh-CN"/>
        </w:rPr>
      </w:pPr>
      <w:bookmarkStart w:id="15" w:name="_Toc16268"/>
      <w:bookmarkStart w:id="16" w:name="_Toc30682"/>
      <w:r>
        <w:rPr>
          <w:rFonts w:hint="eastAsia"/>
          <w:color w:val="auto"/>
          <w:lang w:val="en-US" w:eastAsia="zh-CN"/>
        </w:rPr>
        <w:t>管理要求</w:t>
      </w:r>
      <w:bookmarkEnd w:id="15"/>
      <w:bookmarkEnd w:id="16"/>
    </w:p>
    <w:p>
      <w:pPr>
        <w:pStyle w:val="3"/>
        <w:bidi w:val="0"/>
        <w:ind w:left="0" w:leftChars="0" w:firstLine="0" w:firstLineChars="0"/>
        <w:rPr>
          <w:rFonts w:hint="default"/>
          <w:color w:val="auto"/>
          <w:lang w:val="en-US" w:eastAsia="zh-CN"/>
        </w:rPr>
      </w:pPr>
      <w:bookmarkStart w:id="17" w:name="_Toc11189"/>
      <w:bookmarkStart w:id="18" w:name="_Toc16408"/>
      <w:r>
        <w:rPr>
          <w:rFonts w:hint="eastAsia"/>
          <w:color w:val="auto"/>
          <w:lang w:val="en-US" w:eastAsia="zh-CN"/>
        </w:rPr>
        <w:t>鉴定机构和人员要求</w:t>
      </w:r>
      <w:bookmarkEnd w:id="17"/>
      <w:bookmarkEnd w:id="18"/>
    </w:p>
    <w:p>
      <w:pPr>
        <w:pStyle w:val="5"/>
        <w:bidi w:val="0"/>
        <w:rPr>
          <w:color w:val="auto"/>
        </w:rPr>
      </w:pPr>
      <w:r>
        <w:rPr>
          <w:rFonts w:hint="eastAsia"/>
          <w:color w:val="auto"/>
          <w:lang w:val="en-US" w:eastAsia="zh-CN"/>
        </w:rPr>
        <w:t>鉴定机构资质、人员、设备、场所等应满足相关文件要求，从事微鉴定的人员应具备相应技术能力。</w:t>
      </w:r>
    </w:p>
    <w:p>
      <w:pPr>
        <w:pStyle w:val="26"/>
        <w:rPr>
          <w:rFonts w:hint="eastAsia"/>
          <w:lang w:val="en-US" w:eastAsia="zh-CN"/>
        </w:rPr>
      </w:pPr>
      <w:r>
        <w:rPr>
          <w:rFonts w:hint="eastAsia"/>
          <w:lang w:val="en-US" w:eastAsia="zh-CN"/>
        </w:rPr>
        <w:t>【条文说明】从事微鉴定的人员的“技术能力”指土木工程相关专业毕业，中级及以上职称，具备一级或二级注册结构工程师执业资格，从事结构设计、检测鉴定等相关工作不少于五年。</w:t>
      </w:r>
    </w:p>
    <w:p/>
    <w:p>
      <w:pPr>
        <w:pStyle w:val="3"/>
        <w:bidi w:val="0"/>
        <w:ind w:left="0" w:leftChars="0" w:firstLine="0" w:firstLineChars="0"/>
        <w:rPr>
          <w:rFonts w:hint="eastAsia"/>
          <w:color w:val="auto"/>
          <w:lang w:val="en-US" w:eastAsia="zh-CN"/>
        </w:rPr>
      </w:pPr>
      <w:bookmarkStart w:id="19" w:name="_Toc29738"/>
      <w:bookmarkStart w:id="20" w:name="_Toc31802"/>
      <w:r>
        <w:rPr>
          <w:rFonts w:hint="eastAsia"/>
          <w:color w:val="auto"/>
          <w:lang w:val="en-US" w:eastAsia="zh-CN"/>
        </w:rPr>
        <w:t>项目管理要求</w:t>
      </w:r>
      <w:bookmarkEnd w:id="19"/>
      <w:bookmarkEnd w:id="20"/>
    </w:p>
    <w:p>
      <w:pPr>
        <w:pStyle w:val="5"/>
        <w:bidi w:val="0"/>
        <w:rPr>
          <w:rFonts w:hint="eastAsia"/>
          <w:color w:val="auto"/>
          <w:lang w:val="en-US" w:eastAsia="zh-CN"/>
        </w:rPr>
      </w:pPr>
      <w:bookmarkStart w:id="21" w:name="_Ref14602"/>
      <w:r>
        <w:rPr>
          <w:rFonts w:hint="eastAsia"/>
          <w:color w:val="auto"/>
          <w:lang w:val="en-US" w:eastAsia="zh-CN"/>
        </w:rPr>
        <w:t>民用建筑安全性微鉴定应按图</w:t>
      </w:r>
      <w:r>
        <w:rPr>
          <w:rFonts w:hint="eastAsia"/>
          <w:color w:val="auto"/>
          <w:lang w:val="en-US" w:eastAsia="zh-CN"/>
        </w:rPr>
        <w:fldChar w:fldCharType="begin"/>
      </w:r>
      <w:r>
        <w:rPr>
          <w:rFonts w:hint="eastAsia"/>
          <w:color w:val="auto"/>
          <w:lang w:val="en-US" w:eastAsia="zh-CN"/>
        </w:rPr>
        <w:instrText xml:space="preserve"> REF _Ref14602 \n \h </w:instrText>
      </w:r>
      <w:r>
        <w:rPr>
          <w:rFonts w:hint="eastAsia"/>
          <w:color w:val="auto"/>
          <w:lang w:val="en-US" w:eastAsia="zh-CN"/>
        </w:rPr>
        <w:fldChar w:fldCharType="separate"/>
      </w:r>
      <w:r>
        <w:rPr>
          <w:rFonts w:hint="eastAsia"/>
          <w:color w:val="auto"/>
          <w:lang w:val="en-US" w:eastAsia="zh-CN"/>
        </w:rPr>
        <w:t>5.2.1</w:t>
      </w:r>
      <w:r>
        <w:rPr>
          <w:rFonts w:hint="eastAsia"/>
          <w:color w:val="auto"/>
          <w:lang w:val="en-US" w:eastAsia="zh-CN"/>
        </w:rPr>
        <w:fldChar w:fldCharType="end"/>
      </w:r>
      <w:r>
        <w:rPr>
          <w:rFonts w:hint="eastAsia"/>
          <w:color w:val="auto"/>
          <w:lang w:val="en-US" w:eastAsia="zh-CN"/>
        </w:rPr>
        <w:t>规定的程序执行。</w:t>
      </w:r>
      <w:bookmarkEnd w:id="21"/>
    </w:p>
    <w:p>
      <w:pPr>
        <w:pStyle w:val="25"/>
        <w:bidi w:val="0"/>
        <w:rPr>
          <w:rFonts w:hint="eastAsia"/>
          <w:color w:val="auto"/>
          <w:lang w:val="en-US" w:eastAsia="zh-CN"/>
        </w:rPr>
      </w:pPr>
      <w:r>
        <w:rPr>
          <w:rFonts w:hint="eastAsia"/>
          <w:color w:val="auto"/>
          <w:lang w:val="en-US" w:eastAsia="zh-CN"/>
        </w:rPr>
        <w:drawing>
          <wp:anchor distT="0" distB="0" distL="114300" distR="114300" simplePos="0" relativeHeight="251659264" behindDoc="0" locked="0" layoutInCell="1" allowOverlap="1">
            <wp:simplePos x="0" y="0"/>
            <wp:positionH relativeFrom="column">
              <wp:posOffset>1358900</wp:posOffset>
            </wp:positionH>
            <wp:positionV relativeFrom="paragraph">
              <wp:posOffset>68580</wp:posOffset>
            </wp:positionV>
            <wp:extent cx="3081655" cy="5039995"/>
            <wp:effectExtent l="0" t="0" r="0" b="4445"/>
            <wp:wrapTopAndBottom/>
            <wp:docPr id="3" name="F360BE8B-6686-4F3D-AEAF-501FE73E4058-1" descr="C:/Users/whiskeylw/AppData/Local/Temp/绘图1.png绘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360BE8B-6686-4F3D-AEAF-501FE73E4058-1" descr="C:/Users/whiskeylw/AppData/Local/Temp/绘图1.png绘图1"/>
                    <pic:cNvPicPr>
                      <a:picLocks noChangeAspect="1"/>
                    </pic:cNvPicPr>
                  </pic:nvPicPr>
                  <pic:blipFill>
                    <a:blip r:embed="rId15"/>
                    <a:srcRect r="-5111" b="-513"/>
                    <a:stretch>
                      <a:fillRect/>
                    </a:stretch>
                  </pic:blipFill>
                  <pic:spPr>
                    <a:xfrm>
                      <a:off x="0" y="0"/>
                      <a:ext cx="3081655" cy="5039995"/>
                    </a:xfrm>
                    <a:prstGeom prst="rect">
                      <a:avLst/>
                    </a:prstGeom>
                  </pic:spPr>
                </pic:pic>
              </a:graphicData>
            </a:graphic>
          </wp:anchor>
        </w:drawing>
      </w: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REF _Ref14602 \n \h </w:instrText>
      </w:r>
      <w:r>
        <w:rPr>
          <w:rFonts w:hint="eastAsia"/>
          <w:color w:val="auto"/>
          <w:lang w:val="en-US" w:eastAsia="zh-CN"/>
        </w:rPr>
        <w:fldChar w:fldCharType="separate"/>
      </w:r>
      <w:r>
        <w:rPr>
          <w:rFonts w:hint="eastAsia"/>
          <w:color w:val="auto"/>
          <w:lang w:val="en-US" w:eastAsia="zh-CN"/>
        </w:rPr>
        <w:t>5.2.1</w:t>
      </w:r>
      <w:r>
        <w:rPr>
          <w:rFonts w:hint="eastAsia"/>
          <w:color w:val="auto"/>
          <w:lang w:val="en-US" w:eastAsia="zh-CN"/>
        </w:rPr>
        <w:fldChar w:fldCharType="end"/>
      </w:r>
      <w:r>
        <w:rPr>
          <w:rFonts w:hint="eastAsia"/>
          <w:color w:val="auto"/>
          <w:lang w:val="en-US" w:eastAsia="zh-CN"/>
        </w:rPr>
        <w:t xml:space="preserve"> 民用建筑安全性微鉴定程序</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【条文说明】</w:t>
      </w:r>
      <w:r>
        <w:rPr>
          <w:rFonts w:hint="eastAsia"/>
          <w:color w:val="auto"/>
          <w:lang w:val="en-US" w:eastAsia="zh-CN"/>
        </w:rPr>
        <w:t>民用建筑安全性</w:t>
      </w:r>
      <w:r>
        <w:rPr>
          <w:rFonts w:hint="eastAsia" w:ascii="Times New Roman" w:hAnsi="Times New Roman"/>
          <w:color w:val="auto"/>
          <w:lang w:val="en-US" w:eastAsia="zh-CN"/>
        </w:rPr>
        <w:t>微鉴定</w:t>
      </w:r>
      <w:r>
        <w:rPr>
          <w:rFonts w:hint="eastAsia"/>
          <w:color w:val="auto"/>
          <w:lang w:val="en-US" w:eastAsia="zh-CN"/>
        </w:rPr>
        <w:t>从</w:t>
      </w:r>
      <w:r>
        <w:rPr>
          <w:rFonts w:hint="eastAsia" w:ascii="Times New Roman" w:hAnsi="Times New Roman"/>
          <w:color w:val="auto"/>
          <w:lang w:val="en-US" w:eastAsia="zh-CN"/>
        </w:rPr>
        <w:t>结构整体稳定性缺陷和结构构件的变形、裂缝、损伤</w:t>
      </w:r>
      <w:r>
        <w:rPr>
          <w:rFonts w:hint="eastAsia"/>
          <w:color w:val="auto"/>
          <w:lang w:val="en-US" w:eastAsia="zh-CN"/>
        </w:rPr>
        <w:t>等方面</w:t>
      </w:r>
      <w:r>
        <w:rPr>
          <w:rFonts w:hint="eastAsia" w:ascii="Times New Roman" w:hAnsi="Times New Roman"/>
          <w:color w:val="auto"/>
          <w:lang w:val="en-US" w:eastAsia="zh-CN"/>
        </w:rPr>
        <w:t>对</w:t>
      </w:r>
      <w:r>
        <w:rPr>
          <w:rFonts w:hint="eastAsia"/>
          <w:color w:val="auto"/>
          <w:lang w:val="en-US" w:eastAsia="zh-CN"/>
        </w:rPr>
        <w:t>民用建筑安全性</w:t>
      </w:r>
      <w:r>
        <w:rPr>
          <w:rFonts w:hint="eastAsia" w:ascii="Times New Roman" w:hAnsi="Times New Roman"/>
          <w:color w:val="auto"/>
          <w:lang w:val="en-US" w:eastAsia="zh-CN"/>
        </w:rPr>
        <w:t>进行系统的“诊断”，有必要对其基本内容、步骤、要求和</w:t>
      </w:r>
      <w:r>
        <w:rPr>
          <w:rFonts w:hint="eastAsia"/>
          <w:color w:val="auto"/>
          <w:lang w:val="en-US" w:eastAsia="zh-CN"/>
        </w:rPr>
        <w:t>处置方式</w:t>
      </w:r>
      <w:r>
        <w:rPr>
          <w:rFonts w:hint="eastAsia" w:ascii="Times New Roman" w:hAnsi="Times New Roman"/>
          <w:color w:val="auto"/>
          <w:lang w:val="en-US" w:eastAsia="zh-CN"/>
        </w:rPr>
        <w:t>作出统一的规定，才能规范鉴定工作，确保工作质量及鉴定结论准确。</w:t>
      </w:r>
    </w:p>
    <w:p>
      <w:pPr>
        <w:pStyle w:val="26"/>
        <w:bidi w:val="0"/>
        <w:rPr>
          <w:rFonts w:hint="default" w:ascii="Times New Roman" w:hAnsi="Times New Roman"/>
          <w:color w:val="auto"/>
          <w:lang w:val="en-US" w:eastAsia="zh-CN"/>
        </w:rPr>
      </w:pPr>
      <w:r>
        <w:rPr>
          <w:rFonts w:hint="eastAsia" w:ascii="Times New Roman" w:hAnsi="Times New Roman"/>
          <w:color w:val="auto"/>
          <w:lang w:val="en-US" w:eastAsia="zh-CN"/>
        </w:rPr>
        <w:t>对</w:t>
      </w:r>
      <w:r>
        <w:rPr>
          <w:rFonts w:hint="eastAsia"/>
          <w:color w:val="auto"/>
          <w:lang w:val="en-US" w:eastAsia="zh-CN"/>
        </w:rPr>
        <w:t>民用建筑安全性微鉴定</w:t>
      </w:r>
      <w:r>
        <w:rPr>
          <w:rFonts w:hint="eastAsia" w:ascii="Times New Roman" w:hAnsi="Times New Roman"/>
          <w:color w:val="auto"/>
          <w:lang w:val="en-US" w:eastAsia="zh-CN"/>
        </w:rPr>
        <w:t>的评级结果，本导则规定为三个等级：</w:t>
      </w:r>
      <w:r>
        <w:rPr>
          <w:rFonts w:hint="eastAsia" w:cs="Times New Roman"/>
          <w:i w:val="0"/>
          <w:color w:val="auto"/>
          <w:kern w:val="0"/>
          <w:sz w:val="24"/>
          <w:szCs w:val="24"/>
          <w:vertAlign w:val="baseline"/>
          <w:lang w:val="en-US" w:eastAsia="zh-CN" w:bidi="ar"/>
        </w:rPr>
        <w:t>A</w:t>
      </w:r>
      <w:r>
        <w:rPr>
          <w:rFonts w:hint="default" w:ascii="Times New Roman" w:hAnsi="Times New Roman" w:cs="Times New Roman"/>
          <w:i w:val="0"/>
          <w:color w:val="auto"/>
          <w:kern w:val="0"/>
          <w:sz w:val="24"/>
          <w:szCs w:val="24"/>
          <w:vertAlign w:val="subscript"/>
          <w:lang w:val="en-US" w:eastAsia="zh-CN" w:bidi="ar"/>
        </w:rPr>
        <w:t>su</w:t>
      </w:r>
      <w:r>
        <w:rPr>
          <w:rFonts w:hint="eastAsia" w:ascii="Times New Roman" w:hAnsi="Times New Roman"/>
          <w:color w:val="auto"/>
          <w:lang w:val="en-US" w:eastAsia="zh-CN"/>
        </w:rPr>
        <w:t>、</w:t>
      </w:r>
      <w:r>
        <w:rPr>
          <w:rFonts w:hint="eastAsia" w:ascii="宋体" w:hAnsi="宋体" w:cs="宋体"/>
          <w:color w:val="auto"/>
          <w:kern w:val="0"/>
          <w:sz w:val="24"/>
          <w:szCs w:val="24"/>
          <w:lang w:val="en-US" w:eastAsia="zh-CN" w:bidi="ar"/>
        </w:rPr>
        <w:t>B</w:t>
      </w:r>
      <w:r>
        <w:rPr>
          <w:rFonts w:hint="default" w:ascii="Times New Roman" w:hAnsi="Times New Roman" w:cs="Times New Roman"/>
          <w:i w:val="0"/>
          <w:color w:val="auto"/>
          <w:kern w:val="0"/>
          <w:sz w:val="24"/>
          <w:szCs w:val="24"/>
          <w:vertAlign w:val="subscript"/>
          <w:lang w:val="en-US" w:eastAsia="zh-CN" w:bidi="ar"/>
        </w:rPr>
        <w:t>su</w:t>
      </w:r>
      <w:r>
        <w:rPr>
          <w:rFonts w:hint="eastAsia" w:ascii="Times New Roman" w:hAnsi="Times New Roman"/>
          <w:color w:val="auto"/>
          <w:lang w:val="en-US" w:eastAsia="zh-CN"/>
        </w:rPr>
        <w:t>、</w:t>
      </w: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w:r>
        <w:rPr>
          <w:rFonts w:hint="eastAsia" w:ascii="Times New Roman" w:hAnsi="Times New Roman"/>
          <w:color w:val="auto"/>
          <w:lang w:val="en-US" w:eastAsia="zh-CN"/>
        </w:rPr>
        <w:t>。对</w:t>
      </w: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w:r>
        <w:rPr>
          <w:rFonts w:hint="eastAsia" w:ascii="Times New Roman" w:hAnsi="Times New Roman"/>
          <w:color w:val="auto"/>
          <w:lang w:val="en-US" w:eastAsia="zh-CN"/>
        </w:rPr>
        <w:t>级的房屋要求按现行《民用建筑可靠性鉴定标准》</w:t>
      </w:r>
      <w:r>
        <w:rPr>
          <w:rFonts w:hint="eastAsia"/>
          <w:color w:val="auto"/>
          <w:lang w:val="en-US" w:eastAsia="zh-CN"/>
        </w:rPr>
        <w:t>GB 50292</w:t>
      </w:r>
      <w:r>
        <w:rPr>
          <w:rFonts w:hint="eastAsia" w:ascii="Times New Roman" w:hAnsi="Times New Roman"/>
          <w:color w:val="auto"/>
          <w:lang w:val="en-US" w:eastAsia="zh-CN"/>
        </w:rPr>
        <w:t>等</w:t>
      </w:r>
      <w:r>
        <w:rPr>
          <w:rFonts w:hint="eastAsia"/>
          <w:color w:val="auto"/>
          <w:lang w:val="en-US" w:eastAsia="zh-CN"/>
        </w:rPr>
        <w:t>标准</w:t>
      </w:r>
      <w:r>
        <w:rPr>
          <w:rFonts w:hint="eastAsia" w:ascii="Times New Roman" w:hAnsi="Times New Roman"/>
          <w:color w:val="auto"/>
          <w:lang w:val="en-US" w:eastAsia="zh-CN"/>
        </w:rPr>
        <w:t>进行</w:t>
      </w:r>
      <w:r>
        <w:rPr>
          <w:rFonts w:hint="eastAsia"/>
          <w:color w:val="auto"/>
          <w:lang w:val="en-US" w:eastAsia="zh-CN"/>
        </w:rPr>
        <w:t>常规</w:t>
      </w:r>
      <w:r>
        <w:rPr>
          <w:rFonts w:hint="eastAsia" w:ascii="Times New Roman" w:hAnsi="Times New Roman"/>
          <w:color w:val="auto"/>
          <w:lang w:val="en-US" w:eastAsia="zh-CN"/>
        </w:rPr>
        <w:t>鉴定，根据常规鉴定结果确定是否采取处理措施。</w:t>
      </w:r>
    </w:p>
    <w:p>
      <w:pPr>
        <w:pStyle w:val="5"/>
        <w:bidi w:val="0"/>
        <w:ind w:left="0" w:leftChars="0" w:firstLine="0" w:firstLineChars="0"/>
        <w:rPr>
          <w:rFonts w:hint="eastAsia"/>
          <w:color w:val="auto"/>
        </w:rPr>
      </w:pPr>
      <w:r>
        <w:rPr>
          <w:rFonts w:hint="eastAsia"/>
          <w:color w:val="auto"/>
        </w:rPr>
        <w:t>鉴定机构接收委托</w:t>
      </w:r>
      <w:r>
        <w:rPr>
          <w:rFonts w:hint="eastAsia"/>
          <w:color w:val="auto"/>
          <w:lang w:val="en-US" w:eastAsia="zh-CN"/>
        </w:rPr>
        <w:t>后</w:t>
      </w:r>
      <w:r>
        <w:rPr>
          <w:rFonts w:hint="eastAsia"/>
          <w:color w:val="auto"/>
        </w:rPr>
        <w:t>，</w:t>
      </w:r>
      <w:r>
        <w:rPr>
          <w:rFonts w:hint="eastAsia"/>
          <w:color w:val="auto"/>
          <w:lang w:val="en-US" w:eastAsia="zh-CN"/>
        </w:rPr>
        <w:t>应进行初步调查，结合委托方提供的相关信息</w:t>
      </w:r>
      <w:r>
        <w:rPr>
          <w:rFonts w:hint="eastAsia"/>
          <w:color w:val="auto"/>
        </w:rPr>
        <w:t>，判断是否符合</w:t>
      </w:r>
      <w:r>
        <w:rPr>
          <w:rFonts w:hint="eastAsia"/>
          <w:color w:val="auto"/>
          <w:lang w:val="en-US" w:eastAsia="zh-CN"/>
        </w:rPr>
        <w:t>微鉴定</w:t>
      </w:r>
      <w:r>
        <w:rPr>
          <w:rFonts w:hint="eastAsia"/>
          <w:color w:val="auto"/>
        </w:rPr>
        <w:t>适用范围；符合</w:t>
      </w:r>
      <w:r>
        <w:rPr>
          <w:rFonts w:hint="eastAsia"/>
          <w:color w:val="auto"/>
          <w:lang w:val="en-US" w:eastAsia="zh-CN"/>
        </w:rPr>
        <w:t>微鉴定</w:t>
      </w:r>
      <w:r>
        <w:rPr>
          <w:rFonts w:hint="eastAsia"/>
          <w:color w:val="auto"/>
        </w:rPr>
        <w:t>适</w:t>
      </w:r>
      <w:r>
        <w:rPr>
          <w:rFonts w:hint="eastAsia"/>
          <w:color w:val="auto"/>
          <w:lang w:val="en-US" w:eastAsia="zh-CN"/>
        </w:rPr>
        <w:t>用范围的，鉴定机构向管理单位申报备案，管理单位将全流程跟进。</w:t>
      </w:r>
    </w:p>
    <w:p>
      <w:pPr>
        <w:pStyle w:val="5"/>
        <w:bidi w:val="0"/>
        <w:ind w:left="0" w:leftChars="0" w:firstLine="0" w:firstLineChars="0"/>
        <w:rPr>
          <w:rFonts w:hint="eastAsia"/>
          <w:color w:val="auto"/>
          <w:lang w:val="en-US" w:eastAsia="zh-CN"/>
        </w:rPr>
      </w:pPr>
      <w:r>
        <w:rPr>
          <w:rFonts w:hint="eastAsia"/>
          <w:color w:val="auto"/>
          <w:lang w:val="en-US" w:eastAsia="zh-CN"/>
        </w:rPr>
        <w:t>鉴定人应编制鉴定方案，鉴定方案应经机构内部审批，并经</w:t>
      </w:r>
      <w:r>
        <w:rPr>
          <w:rFonts w:hint="eastAsia"/>
          <w:color w:val="auto"/>
        </w:rPr>
        <w:t>委托方确认后，上传至</w:t>
      </w:r>
      <w:r>
        <w:rPr>
          <w:rFonts w:hint="eastAsia"/>
          <w:color w:val="auto"/>
          <w:lang w:val="en-US" w:eastAsia="zh-CN"/>
        </w:rPr>
        <w:t>管理</w:t>
      </w:r>
      <w:r>
        <w:rPr>
          <w:rFonts w:hint="eastAsia"/>
          <w:color w:val="auto"/>
        </w:rPr>
        <w:t>系统。</w:t>
      </w:r>
    </w:p>
    <w:p>
      <w:pPr>
        <w:pStyle w:val="5"/>
        <w:bidi w:val="0"/>
        <w:ind w:left="0" w:leftChars="0" w:firstLine="0" w:firstLineChars="0"/>
        <w:rPr>
          <w:rFonts w:hint="default"/>
          <w:color w:val="auto"/>
          <w:lang w:val="en-US" w:eastAsia="zh-CN"/>
        </w:rPr>
      </w:pPr>
      <w:r>
        <w:rPr>
          <w:rFonts w:hint="eastAsia"/>
          <w:color w:val="auto"/>
          <w:lang w:val="en-US" w:eastAsia="zh-CN"/>
        </w:rPr>
        <w:t>项目委托协议、原始记录、鉴定报告、计算书等应归档管理。</w:t>
      </w:r>
    </w:p>
    <w:p>
      <w:pPr>
        <w:pStyle w:val="3"/>
        <w:ind w:firstLine="0" w:firstLineChars="0"/>
        <w:rPr>
          <w:rFonts w:hint="eastAsia"/>
          <w:color w:val="auto"/>
          <w:lang w:val="en-US" w:eastAsia="zh-CN"/>
        </w:rPr>
      </w:pPr>
      <w:bookmarkStart w:id="22" w:name="_Toc23172"/>
      <w:r>
        <w:rPr>
          <w:rFonts w:hint="eastAsia"/>
          <w:color w:val="auto"/>
          <w:lang w:val="en-US" w:eastAsia="zh-CN"/>
        </w:rPr>
        <w:t>监督检查</w:t>
      </w:r>
      <w:bookmarkEnd w:id="22"/>
    </w:p>
    <w:p>
      <w:pPr>
        <w:pStyle w:val="5"/>
        <w:bidi w:val="0"/>
        <w:ind w:left="0" w:leftChars="0" w:firstLine="0" w:firstLineChars="0"/>
        <w:rPr>
          <w:rFonts w:hint="default"/>
          <w:color w:val="auto"/>
          <w:lang w:val="en-US" w:eastAsia="zh-CN"/>
        </w:rPr>
      </w:pPr>
      <w:r>
        <w:rPr>
          <w:rFonts w:hint="default"/>
          <w:color w:val="auto"/>
          <w:lang w:val="en-US" w:eastAsia="zh-CN"/>
        </w:rPr>
        <w:t>管理部门加强民用建筑安全性微鉴定信息化管理，强化民用建筑安全性微鉴定活动的动态监管，通过信息系统抽查、现场检查等全流程跟踪模式，对鉴定机构、从业人员实施定期和不定期的监督检查。</w:t>
      </w:r>
    </w:p>
    <w:p>
      <w:pPr>
        <w:pStyle w:val="5"/>
        <w:bidi w:val="0"/>
        <w:ind w:left="0" w:leftChars="0" w:firstLine="0" w:firstLineChars="0"/>
        <w:rPr>
          <w:rFonts w:hint="default"/>
          <w:color w:val="auto"/>
          <w:lang w:val="en-US" w:eastAsia="zh-CN"/>
        </w:rPr>
      </w:pPr>
      <w:r>
        <w:rPr>
          <w:rFonts w:hint="default"/>
          <w:color w:val="auto"/>
          <w:lang w:val="en-US" w:eastAsia="zh-CN"/>
        </w:rPr>
        <w:t>管理部门设立微鉴定专家库，发挥专家在民用建筑安全性微鉴定工作中的技术指导和服务咨询作用，进一步提升微鉴定技术水平，加强对微鉴定报告的监督检查，发现提供虚假鉴定报告等违法违规行为的，依法依规进行处理。</w:t>
      </w:r>
    </w:p>
    <w:p>
      <w:pPr>
        <w:pStyle w:val="5"/>
        <w:bidi w:val="0"/>
        <w:ind w:left="0" w:leftChars="0" w:firstLine="0" w:firstLineChars="0"/>
        <w:rPr>
          <w:rFonts w:hint="default"/>
          <w:color w:val="0000FF"/>
          <w:lang w:val="en-US" w:eastAsia="zh-CN"/>
        </w:rPr>
        <w:sectPr>
          <w:pgSz w:w="11906" w:h="16838"/>
          <w:pgMar w:top="1440" w:right="1800" w:bottom="1440" w:left="1800" w:header="851" w:footer="992" w:gutter="0"/>
          <w:pgNumType w:fmt="decimal"/>
          <w:cols w:space="425" w:num="1"/>
          <w:docGrid w:type="lines" w:linePitch="312" w:charSpace="0"/>
        </w:sectPr>
      </w:pPr>
    </w:p>
    <w:p>
      <w:pPr>
        <w:pStyle w:val="2"/>
        <w:bidi w:val="0"/>
        <w:ind w:left="0" w:leftChars="0" w:firstLine="0" w:firstLineChars="0"/>
        <w:rPr>
          <w:rFonts w:hint="default"/>
          <w:color w:val="auto"/>
          <w:lang w:val="en-US" w:eastAsia="zh-CN"/>
        </w:rPr>
      </w:pPr>
      <w:bookmarkStart w:id="23" w:name="_Toc29876"/>
      <w:bookmarkStart w:id="24" w:name="_Toc18463"/>
      <w:r>
        <w:rPr>
          <w:rFonts w:hint="eastAsia"/>
          <w:color w:val="auto"/>
          <w:lang w:val="en-US" w:eastAsia="zh-CN"/>
        </w:rPr>
        <w:t>基本要求</w:t>
      </w:r>
      <w:bookmarkEnd w:id="23"/>
      <w:bookmarkEnd w:id="24"/>
    </w:p>
    <w:p>
      <w:pPr>
        <w:pStyle w:val="3"/>
        <w:bidi w:val="0"/>
        <w:ind w:left="0" w:leftChars="0" w:firstLine="0" w:firstLineChars="0"/>
        <w:rPr>
          <w:rFonts w:hint="eastAsia"/>
          <w:color w:val="auto"/>
          <w:lang w:val="en-US" w:eastAsia="zh-CN"/>
        </w:rPr>
      </w:pPr>
      <w:bookmarkStart w:id="25" w:name="_Toc26378"/>
      <w:bookmarkStart w:id="26" w:name="_Toc19565"/>
      <w:bookmarkStart w:id="27" w:name="_Toc32665"/>
      <w:r>
        <w:rPr>
          <w:rFonts w:hint="eastAsia"/>
          <w:color w:val="auto"/>
          <w:lang w:val="en-US" w:eastAsia="zh-CN"/>
        </w:rPr>
        <w:t>一般规定</w:t>
      </w:r>
      <w:bookmarkEnd w:id="25"/>
      <w:bookmarkEnd w:id="26"/>
      <w:bookmarkEnd w:id="27"/>
    </w:p>
    <w:p>
      <w:pPr>
        <w:pStyle w:val="5"/>
        <w:bidi w:val="0"/>
        <w:ind w:left="0" w:leftChars="0" w:firstLine="0" w:firstLineChars="0"/>
        <w:rPr>
          <w:rFonts w:hint="eastAsia"/>
          <w:color w:val="auto"/>
          <w:lang w:val="en-US" w:eastAsia="zh-CN"/>
        </w:rPr>
      </w:pPr>
      <w:bookmarkStart w:id="28" w:name="_Ref18838"/>
      <w:r>
        <w:rPr>
          <w:rFonts w:hint="eastAsia"/>
          <w:color w:val="auto"/>
          <w:lang w:val="en-US" w:eastAsia="zh-CN"/>
        </w:rPr>
        <w:t>民用建筑安全性微鉴定应按照图</w:t>
      </w:r>
      <w:r>
        <w:rPr>
          <w:rFonts w:hint="eastAsia"/>
          <w:color w:val="auto"/>
          <w:lang w:val="en-US" w:eastAsia="zh-CN"/>
        </w:rPr>
        <w:fldChar w:fldCharType="begin"/>
      </w:r>
      <w:r>
        <w:rPr>
          <w:rFonts w:hint="eastAsia"/>
          <w:color w:val="auto"/>
          <w:lang w:val="en-US" w:eastAsia="zh-CN"/>
        </w:rPr>
        <w:instrText xml:space="preserve"> REF _Ref18838 \n \h </w:instrText>
      </w:r>
      <w:r>
        <w:rPr>
          <w:rFonts w:hint="eastAsia"/>
          <w:color w:val="auto"/>
          <w:lang w:val="en-US" w:eastAsia="zh-CN"/>
        </w:rPr>
        <w:fldChar w:fldCharType="separate"/>
      </w:r>
      <w:r>
        <w:rPr>
          <w:rFonts w:hint="eastAsia"/>
          <w:color w:val="auto"/>
          <w:lang w:val="en-US" w:eastAsia="zh-CN"/>
        </w:rPr>
        <w:t>6.1.1</w:t>
      </w:r>
      <w:r>
        <w:rPr>
          <w:rFonts w:hint="eastAsia"/>
          <w:color w:val="auto"/>
          <w:lang w:val="en-US" w:eastAsia="zh-CN"/>
        </w:rPr>
        <w:fldChar w:fldCharType="end"/>
      </w:r>
      <w:r>
        <w:rPr>
          <w:rFonts w:hint="eastAsia"/>
          <w:color w:val="auto"/>
          <w:lang w:val="en-US" w:eastAsia="zh-CN"/>
        </w:rPr>
        <w:t>的逐级鉴定流程进行鉴定。</w:t>
      </w:r>
      <w:bookmarkEnd w:id="28"/>
    </w:p>
    <w:p>
      <w:pPr>
        <w:bidi w:val="0"/>
        <w:ind w:left="0" w:leftChars="0" w:firstLine="0" w:firstLineChars="0"/>
        <w:jc w:val="center"/>
        <w:rPr>
          <w:rFonts w:hint="eastAsia"/>
          <w:color w:val="auto"/>
          <w:highlight w:val="none"/>
          <w:lang w:val="en-US" w:eastAsia="zh-CN"/>
        </w:rPr>
      </w:pPr>
      <w:r>
        <w:rPr>
          <w:rFonts w:hint="eastAsia"/>
          <w:color w:val="auto"/>
          <w:highlight w:val="none"/>
          <w:lang w:val="en-US" w:eastAsia="zh-CN"/>
        </w:rPr>
        <w:drawing>
          <wp:inline distT="0" distB="0" distL="114300" distR="114300">
            <wp:extent cx="4198620" cy="3599815"/>
            <wp:effectExtent l="0" t="0" r="0" b="12065"/>
            <wp:docPr id="2" name="F360BE8B-6686-4F3D-AEAF-501FE73E4058-2" descr="C:/Users/whiskeylw/AppData/Local/Temp/绘图1(1).png绘图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360BE8B-6686-4F3D-AEAF-501FE73E4058-2" descr="C:/Users/whiskeylw/AppData/Local/Temp/绘图1(1).png绘图1(1)"/>
                    <pic:cNvPicPr>
                      <a:picLocks noChangeAspect="1"/>
                    </pic:cNvPicPr>
                  </pic:nvPicPr>
                  <pic:blipFill>
                    <a:blip r:embed="rId16"/>
                    <a:srcRect r="-5111" b="-513"/>
                    <a:stretch>
                      <a:fillRect/>
                    </a:stretch>
                  </pic:blipFill>
                  <pic:spPr>
                    <a:xfrm>
                      <a:off x="0" y="0"/>
                      <a:ext cx="4198620" cy="3599815"/>
                    </a:xfrm>
                    <a:prstGeom prst="rect">
                      <a:avLst/>
                    </a:prstGeom>
                  </pic:spPr>
                </pic:pic>
              </a:graphicData>
            </a:graphic>
          </wp:inline>
        </w:drawing>
      </w:r>
    </w:p>
    <w:p>
      <w:pPr>
        <w:pStyle w:val="25"/>
        <w:bidi w:val="0"/>
        <w:rPr>
          <w:rFonts w:hint="default"/>
          <w:color w:val="auto"/>
          <w:lang w:val="en-US" w:eastAsia="zh-CN"/>
        </w:rPr>
      </w:pPr>
      <w:r>
        <w:rPr>
          <w:rFonts w:hint="eastAsia"/>
          <w:color w:val="auto"/>
          <w:lang w:val="en-US" w:eastAsia="zh-CN"/>
        </w:rPr>
        <w:t>图</w:t>
      </w:r>
      <w:r>
        <w:rPr>
          <w:rFonts w:hint="eastAsia"/>
          <w:color w:val="auto"/>
          <w:lang w:val="en-US" w:eastAsia="zh-CN"/>
        </w:rPr>
        <w:fldChar w:fldCharType="begin"/>
      </w:r>
      <w:r>
        <w:rPr>
          <w:rFonts w:hint="eastAsia"/>
          <w:color w:val="auto"/>
          <w:lang w:val="en-US" w:eastAsia="zh-CN"/>
        </w:rPr>
        <w:instrText xml:space="preserve"> REF _Ref18838 \n \h </w:instrText>
      </w:r>
      <w:r>
        <w:rPr>
          <w:rFonts w:hint="eastAsia"/>
          <w:color w:val="auto"/>
          <w:lang w:val="en-US" w:eastAsia="zh-CN"/>
        </w:rPr>
        <w:fldChar w:fldCharType="separate"/>
      </w:r>
      <w:r>
        <w:rPr>
          <w:rFonts w:hint="eastAsia"/>
          <w:color w:val="auto"/>
          <w:lang w:val="en-US" w:eastAsia="zh-CN"/>
        </w:rPr>
        <w:t>6.1.1</w:t>
      </w:r>
      <w:r>
        <w:rPr>
          <w:rFonts w:hint="eastAsia"/>
          <w:color w:val="auto"/>
          <w:lang w:val="en-US" w:eastAsia="zh-CN"/>
        </w:rPr>
        <w:fldChar w:fldCharType="end"/>
      </w:r>
      <w:r>
        <w:rPr>
          <w:rFonts w:hint="eastAsia"/>
          <w:color w:val="auto"/>
          <w:lang w:val="en-US" w:eastAsia="zh-CN"/>
        </w:rPr>
        <w:t xml:space="preserve"> 民用建筑安全性微鉴定流程</w:t>
      </w:r>
    </w:p>
    <w:p>
      <w:pPr>
        <w:pStyle w:val="5"/>
        <w:bidi w:val="0"/>
        <w:ind w:left="0" w:leftChars="0" w:firstLine="0" w:firstLineChars="0"/>
        <w:rPr>
          <w:rFonts w:hint="default"/>
          <w:color w:val="auto"/>
          <w:lang w:val="en-US" w:eastAsia="zh-CN"/>
        </w:rPr>
      </w:pPr>
      <w:r>
        <w:rPr>
          <w:rFonts w:hint="eastAsia"/>
          <w:color w:val="auto"/>
          <w:lang w:val="en-US" w:eastAsia="zh-CN"/>
        </w:rPr>
        <w:t>民用建筑安全性微鉴定的目标工作年限不应超过设计剩余工作年限。</w:t>
      </w:r>
    </w:p>
    <w:p>
      <w:pPr>
        <w:pStyle w:val="26"/>
        <w:bidi w:val="0"/>
        <w:rPr>
          <w:rFonts w:hint="eastAsia"/>
          <w:color w:val="auto"/>
          <w:lang w:val="en-US" w:eastAsia="zh-CN"/>
        </w:rPr>
      </w:pPr>
      <w:r>
        <w:rPr>
          <w:rFonts w:hint="eastAsia"/>
          <w:color w:val="auto"/>
          <w:lang w:val="en-US" w:eastAsia="zh-CN"/>
        </w:rPr>
        <w:t>【条文说明】目标工作年限指民用建筑安全性微鉴定时，委托方所期望的建筑能继续工作的年限。根据《民用建筑可靠性鉴定标准》GB 50292第3.1.1条：民用建筑在正常使用阶段未大修、改扩建、改变用途及使用环境或存在严重缺陷损伤时，建筑物达到设计使用年限拟继续使用时应进行可靠性鉴定；《建筑抗震鉴定标准》GB 50023第1.0.6条：建筑物改变用途及使用环境、抗震设防要求提高的建筑、接近或超过设计工作年限需要继续使用的，应进行抗震鉴定。上述标准条文都表明在正常情况下建筑达到设计工作年限才需要作安全性或抗震鉴定，这符合建筑设计、使用、施工的经济合理原则。微鉴定的目的是鉴定结构是否具有设计所要求的安全性。对于满足要求的未达到设计工作年限建筑从经济合理原则不宜要求延长工作年限。</w:t>
      </w:r>
    </w:p>
    <w:p>
      <w:pPr>
        <w:pStyle w:val="3"/>
        <w:bidi w:val="0"/>
        <w:ind w:left="0" w:leftChars="0" w:firstLine="0" w:firstLineChars="0"/>
        <w:rPr>
          <w:rFonts w:hint="eastAsia"/>
          <w:color w:val="auto"/>
          <w:lang w:val="en-US" w:eastAsia="zh-CN"/>
        </w:rPr>
      </w:pPr>
      <w:bookmarkStart w:id="29" w:name="_Toc4522"/>
      <w:bookmarkStart w:id="30" w:name="_Toc20221"/>
      <w:bookmarkStart w:id="31" w:name="_Toc25726"/>
      <w:r>
        <w:rPr>
          <w:rFonts w:hint="eastAsia"/>
          <w:color w:val="auto"/>
          <w:lang w:val="en-US" w:eastAsia="zh-CN"/>
        </w:rPr>
        <w:t>初步调查</w:t>
      </w:r>
      <w:bookmarkEnd w:id="29"/>
      <w:bookmarkEnd w:id="30"/>
      <w:bookmarkEnd w:id="31"/>
    </w:p>
    <w:p>
      <w:pPr>
        <w:pStyle w:val="5"/>
        <w:bidi w:val="0"/>
        <w:ind w:left="0" w:leftChars="0" w:firstLine="0" w:firstLineChars="0"/>
        <w:rPr>
          <w:rFonts w:hint="eastAsia"/>
          <w:color w:val="auto"/>
          <w:lang w:val="en-US" w:eastAsia="zh-CN"/>
        </w:rPr>
      </w:pPr>
      <w:r>
        <w:rPr>
          <w:rFonts w:hint="eastAsia"/>
          <w:color w:val="auto"/>
          <w:lang w:val="en-US" w:eastAsia="zh-CN"/>
        </w:rPr>
        <w:t>现场初步调查时，应与委托方充分沟通，了解建筑基本概况、鉴定目的和要求等，结合现场调查情况对微鉴定方法适用性、鉴定内容和范围进行确认。</w:t>
      </w:r>
    </w:p>
    <w:p>
      <w:pPr>
        <w:pStyle w:val="5"/>
        <w:bidi w:val="0"/>
        <w:ind w:left="0" w:leftChars="0" w:firstLine="0" w:firstLineChars="0"/>
        <w:rPr>
          <w:rFonts w:hint="eastAsia"/>
          <w:color w:val="auto"/>
          <w:lang w:val="en-US" w:eastAsia="zh-CN"/>
        </w:rPr>
      </w:pPr>
      <w:r>
        <w:rPr>
          <w:rFonts w:hint="eastAsia"/>
          <w:color w:val="auto"/>
          <w:lang w:val="en-US" w:eastAsia="zh-CN"/>
        </w:rPr>
        <w:t>初步调查应包括下列基本工作内容：</w:t>
      </w:r>
    </w:p>
    <w:p>
      <w:pPr>
        <w:pStyle w:val="36"/>
        <w:bidi w:val="0"/>
        <w:rPr>
          <w:rFonts w:hint="eastAsia"/>
          <w:color w:val="auto"/>
          <w:lang w:val="en-US" w:eastAsia="zh-CN"/>
        </w:rPr>
      </w:pPr>
      <w:r>
        <w:rPr>
          <w:rFonts w:hint="eastAsia"/>
          <w:color w:val="auto"/>
          <w:lang w:val="en-US" w:eastAsia="zh-CN"/>
        </w:rPr>
        <w:t xml:space="preserve">收集并查阅图纸资料，包括岩土工程勘察报告、设计计算书、设计变更记录、施工图、施工及施工变更记录、竣工图、竣工验收文件（包括隐蔽工程验收记录在内的验收文件、质检文件等）、定点观测记录、事故处理报告、维修记录、历次加固改造图纸等； </w:t>
      </w:r>
    </w:p>
    <w:p>
      <w:pPr>
        <w:pStyle w:val="36"/>
        <w:bidi w:val="0"/>
        <w:rPr>
          <w:rFonts w:hint="eastAsia"/>
          <w:color w:val="auto"/>
          <w:lang w:val="en-US" w:eastAsia="zh-CN"/>
        </w:rPr>
      </w:pPr>
      <w:r>
        <w:rPr>
          <w:rFonts w:hint="eastAsia"/>
          <w:color w:val="auto"/>
          <w:lang w:val="en-US" w:eastAsia="zh-CN"/>
        </w:rPr>
        <w:t>调查建筑物历史，包括原始设计施工、历次修缮、加固、改造、用途变更、使用条件改变以及受灾等相关情况；</w:t>
      </w:r>
    </w:p>
    <w:p>
      <w:pPr>
        <w:pStyle w:val="36"/>
        <w:bidi w:val="0"/>
        <w:rPr>
          <w:rFonts w:hint="eastAsia"/>
          <w:color w:val="auto"/>
          <w:lang w:val="en-US" w:eastAsia="zh-CN"/>
        </w:rPr>
      </w:pPr>
      <w:r>
        <w:rPr>
          <w:rFonts w:hint="eastAsia"/>
          <w:color w:val="auto"/>
          <w:lang w:val="en-US" w:eastAsia="zh-CN"/>
        </w:rPr>
        <w:t>现场按先室外后室内、先下层后上层的顺序，对建筑平面布局、结构体系、实际使用功能、使用环境等进行调查，核查其与图纸资料的符合性，查看有无明显的结构拆改，梳理已发现的问题，初步掌握主要的结构损伤情况，听取有关人员的意见等，填写初步调查表。现场初步调查发现建筑构件存在变形、裂缝损伤等可能影响结构构件性能情况时，应标记为重点检测对象。</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【条文说明】初步调查表</w:t>
      </w:r>
      <w:r>
        <w:rPr>
          <w:rFonts w:hint="default" w:ascii="Times New Roman" w:hAnsi="Times New Roman"/>
          <w:color w:val="auto"/>
          <w:lang w:val="en-US" w:eastAsia="zh-CN"/>
        </w:rPr>
        <w:t>按</w:t>
      </w:r>
      <w:r>
        <w:rPr>
          <w:rFonts w:hint="eastAsia" w:ascii="Times New Roman" w:hAnsi="Times New Roman"/>
          <w:color w:val="auto"/>
          <w:lang w:val="en-US" w:eastAsia="zh-CN"/>
        </w:rPr>
        <w:t>《民用建筑可靠性鉴定标准》</w:t>
      </w:r>
      <w:r>
        <w:rPr>
          <w:rFonts w:hint="eastAsia"/>
          <w:color w:val="auto"/>
          <w:lang w:val="en-US" w:eastAsia="zh-CN"/>
        </w:rPr>
        <w:t>GB 50292</w:t>
      </w:r>
      <w:r>
        <w:rPr>
          <w:rFonts w:hint="eastAsia" w:ascii="Times New Roman" w:hAnsi="Times New Roman"/>
          <w:color w:val="auto"/>
          <w:lang w:val="en-US" w:eastAsia="zh-CN"/>
        </w:rPr>
        <w:t>附录A</w:t>
      </w:r>
      <w:r>
        <w:rPr>
          <w:rFonts w:hint="eastAsia"/>
          <w:color w:val="auto"/>
          <w:lang w:val="en-US" w:eastAsia="zh-CN"/>
        </w:rPr>
        <w:t>采用</w:t>
      </w:r>
      <w:r>
        <w:rPr>
          <w:rFonts w:hint="eastAsia" w:ascii="Times New Roman" w:hAnsi="Times New Roman"/>
          <w:color w:val="auto"/>
          <w:lang w:val="en-US" w:eastAsia="zh-CN"/>
        </w:rPr>
        <w:t>。</w:t>
      </w:r>
    </w:p>
    <w:p>
      <w:pPr>
        <w:pStyle w:val="3"/>
        <w:bidi w:val="0"/>
        <w:ind w:left="0" w:leftChars="0" w:firstLine="0" w:firstLineChars="0"/>
        <w:rPr>
          <w:rFonts w:hint="default"/>
          <w:color w:val="auto"/>
          <w:lang w:val="en-US" w:eastAsia="zh-CN"/>
        </w:rPr>
      </w:pPr>
      <w:bookmarkStart w:id="32" w:name="_Toc23370"/>
      <w:bookmarkStart w:id="33" w:name="_Toc3605"/>
      <w:r>
        <w:rPr>
          <w:rFonts w:hint="eastAsia"/>
          <w:color w:val="auto"/>
          <w:lang w:val="en-US" w:eastAsia="zh-CN"/>
        </w:rPr>
        <w:t>鉴定方案</w:t>
      </w:r>
      <w:bookmarkEnd w:id="32"/>
      <w:bookmarkEnd w:id="33"/>
    </w:p>
    <w:p>
      <w:pPr>
        <w:pStyle w:val="5"/>
        <w:bidi w:val="0"/>
        <w:ind w:left="0" w:leftChars="0" w:firstLine="0" w:firstLineChars="0"/>
        <w:rPr>
          <w:rFonts w:hint="eastAsia"/>
          <w:color w:val="auto"/>
          <w:lang w:val="en-US" w:eastAsia="zh-CN"/>
        </w:rPr>
      </w:pPr>
      <w:r>
        <w:rPr>
          <w:rFonts w:hint="eastAsia"/>
          <w:color w:val="auto"/>
          <w:lang w:val="en-US" w:eastAsia="zh-CN"/>
        </w:rPr>
        <w:t>鉴定方案应在</w:t>
      </w:r>
      <w:r>
        <w:rPr>
          <w:color w:val="auto"/>
        </w:rPr>
        <w:t>初步调查的基础上</w:t>
      </w:r>
      <w:r>
        <w:rPr>
          <w:rFonts w:hint="eastAsia"/>
          <w:color w:val="auto"/>
          <w:lang w:eastAsia="zh-CN"/>
        </w:rPr>
        <w:t>，</w:t>
      </w:r>
      <w:r>
        <w:rPr>
          <w:color w:val="auto"/>
        </w:rPr>
        <w:t>结合委托</w:t>
      </w:r>
      <w:r>
        <w:rPr>
          <w:rFonts w:hint="eastAsia"/>
          <w:color w:val="auto"/>
          <w:lang w:val="en-US" w:eastAsia="zh-CN"/>
        </w:rPr>
        <w:t>鉴定</w:t>
      </w:r>
      <w:r>
        <w:rPr>
          <w:color w:val="auto"/>
        </w:rPr>
        <w:t>事项和要求</w:t>
      </w:r>
      <w:r>
        <w:rPr>
          <w:rFonts w:hint="eastAsia"/>
          <w:color w:val="auto"/>
          <w:lang w:val="en-US" w:eastAsia="zh-CN"/>
        </w:rPr>
        <w:t>编制</w:t>
      </w:r>
      <w:r>
        <w:rPr>
          <w:rFonts w:hint="eastAsia"/>
          <w:color w:val="auto"/>
          <w:lang w:eastAsia="zh-CN"/>
        </w:rPr>
        <w:t>，</w:t>
      </w:r>
      <w:r>
        <w:rPr>
          <w:rFonts w:hint="eastAsia"/>
          <w:color w:val="auto"/>
          <w:lang w:val="en-US" w:eastAsia="zh-CN"/>
        </w:rPr>
        <w:t>方案应包括下列内容：</w:t>
      </w:r>
    </w:p>
    <w:p>
      <w:pPr>
        <w:pStyle w:val="36"/>
        <w:bidi w:val="0"/>
        <w:rPr>
          <w:rFonts w:hint="eastAsia"/>
          <w:color w:val="auto"/>
          <w:lang w:val="en-US" w:eastAsia="zh-CN"/>
        </w:rPr>
      </w:pPr>
      <w:r>
        <w:rPr>
          <w:rFonts w:hint="eastAsia"/>
          <w:color w:val="auto"/>
          <w:lang w:val="en-US" w:eastAsia="zh-CN"/>
        </w:rPr>
        <w:t>建筑概况：建筑位置、建筑面积、结构类型、层数、建造年代、用途、抗震设防情况、周边环境条件、改扩建与修缮历史、装修拆改及加固情况，以及相关设计、施工、监理单位等信息；</w:t>
      </w:r>
    </w:p>
    <w:p>
      <w:pPr>
        <w:pStyle w:val="36"/>
        <w:bidi w:val="0"/>
        <w:rPr>
          <w:rFonts w:hint="eastAsia"/>
          <w:color w:val="auto"/>
          <w:lang w:val="en-US" w:eastAsia="zh-CN"/>
        </w:rPr>
      </w:pPr>
      <w:r>
        <w:rPr>
          <w:rFonts w:hint="eastAsia"/>
          <w:color w:val="auto"/>
          <w:lang w:val="en-US" w:eastAsia="zh-CN"/>
        </w:rPr>
        <w:t>鉴定目的、范围和内容；</w:t>
      </w:r>
    </w:p>
    <w:p>
      <w:pPr>
        <w:pStyle w:val="36"/>
        <w:bidi w:val="0"/>
        <w:rPr>
          <w:rFonts w:hint="eastAsia"/>
          <w:color w:val="auto"/>
          <w:lang w:val="en-US" w:eastAsia="zh-CN"/>
        </w:rPr>
      </w:pPr>
      <w:r>
        <w:rPr>
          <w:rFonts w:hint="eastAsia"/>
          <w:color w:val="auto"/>
          <w:lang w:val="en-US" w:eastAsia="zh-CN"/>
        </w:rPr>
        <w:t>检测鉴定依据的规范、标准；</w:t>
      </w:r>
    </w:p>
    <w:p>
      <w:pPr>
        <w:pStyle w:val="36"/>
        <w:bidi w:val="0"/>
        <w:rPr>
          <w:rFonts w:hint="default"/>
          <w:color w:val="auto"/>
          <w:lang w:val="en-US" w:eastAsia="zh-CN"/>
        </w:rPr>
      </w:pPr>
      <w:r>
        <w:rPr>
          <w:rFonts w:hint="eastAsia"/>
          <w:color w:val="auto"/>
          <w:lang w:val="en-US" w:eastAsia="zh-CN"/>
        </w:rPr>
        <w:t>检测内容及抽样方案；</w:t>
      </w:r>
    </w:p>
    <w:p>
      <w:pPr>
        <w:pStyle w:val="36"/>
        <w:bidi w:val="0"/>
        <w:rPr>
          <w:rFonts w:hint="eastAsia"/>
          <w:color w:val="auto"/>
          <w:lang w:val="en-US" w:eastAsia="zh-CN"/>
        </w:rPr>
      </w:pPr>
      <w:r>
        <w:rPr>
          <w:rFonts w:hint="eastAsia"/>
          <w:color w:val="auto"/>
          <w:lang w:val="en-US" w:eastAsia="zh-CN"/>
        </w:rPr>
        <w:t>检测鉴定的进度安排；</w:t>
      </w:r>
    </w:p>
    <w:p>
      <w:pPr>
        <w:pStyle w:val="36"/>
        <w:bidi w:val="0"/>
        <w:rPr>
          <w:rFonts w:hint="eastAsia"/>
          <w:color w:val="auto"/>
          <w:lang w:val="en-US" w:eastAsia="zh-CN"/>
        </w:rPr>
      </w:pPr>
      <w:r>
        <w:rPr>
          <w:rFonts w:hint="eastAsia"/>
          <w:color w:val="auto"/>
          <w:lang w:val="en-US" w:eastAsia="zh-CN"/>
        </w:rPr>
        <w:t>需由委托方提供的工作条件及准备工作；</w:t>
      </w:r>
    </w:p>
    <w:p>
      <w:pPr>
        <w:pStyle w:val="36"/>
        <w:bidi w:val="0"/>
        <w:rPr>
          <w:rFonts w:hint="eastAsia"/>
          <w:color w:val="auto"/>
          <w:lang w:val="en-US" w:eastAsia="zh-CN"/>
        </w:rPr>
      </w:pPr>
      <w:r>
        <w:rPr>
          <w:rFonts w:hint="eastAsia"/>
          <w:color w:val="auto"/>
          <w:lang w:val="en-US" w:eastAsia="zh-CN"/>
        </w:rPr>
        <w:t>检测鉴定中的安全保障及环保措施等要求；</w:t>
      </w:r>
    </w:p>
    <w:p>
      <w:pPr>
        <w:pStyle w:val="36"/>
        <w:bidi w:val="0"/>
        <w:rPr>
          <w:rFonts w:hint="eastAsia"/>
          <w:color w:val="auto"/>
          <w:lang w:val="en-US" w:eastAsia="zh-CN"/>
        </w:rPr>
      </w:pPr>
      <w:r>
        <w:rPr>
          <w:rFonts w:hint="eastAsia"/>
          <w:color w:val="auto"/>
          <w:lang w:val="en-US" w:eastAsia="zh-CN"/>
        </w:rPr>
        <w:t>其他。</w:t>
      </w:r>
    </w:p>
    <w:p>
      <w:pPr>
        <w:pStyle w:val="5"/>
        <w:bidi w:val="0"/>
        <w:ind w:left="0" w:leftChars="0" w:firstLine="0" w:firstLineChars="0"/>
        <w:rPr>
          <w:color w:val="auto"/>
        </w:rPr>
      </w:pPr>
      <w:r>
        <w:rPr>
          <w:rFonts w:hint="eastAsia"/>
          <w:color w:val="auto"/>
          <w:lang w:eastAsia="zh-CN"/>
        </w:rPr>
        <w:t>民用建筑安全性微鉴定</w:t>
      </w:r>
      <w:r>
        <w:rPr>
          <w:rFonts w:hint="eastAsia"/>
          <w:color w:val="auto"/>
          <w:lang w:val="en-US" w:eastAsia="zh-CN"/>
        </w:rPr>
        <w:t>的抽样</w:t>
      </w:r>
      <w:r>
        <w:rPr>
          <w:color w:val="auto"/>
        </w:rPr>
        <w:t>应符合下列</w:t>
      </w:r>
      <w:r>
        <w:rPr>
          <w:rFonts w:hint="eastAsia"/>
          <w:color w:val="auto"/>
          <w:lang w:val="en-US" w:eastAsia="zh-CN"/>
        </w:rPr>
        <w:t>要求</w:t>
      </w:r>
      <w:r>
        <w:rPr>
          <w:color w:val="auto"/>
        </w:rPr>
        <w:t>：</w:t>
      </w:r>
    </w:p>
    <w:p>
      <w:pPr>
        <w:pStyle w:val="36"/>
        <w:bidi w:val="0"/>
        <w:rPr>
          <w:color w:val="auto"/>
        </w:rPr>
      </w:pPr>
      <w:r>
        <w:rPr>
          <w:color w:val="auto"/>
        </w:rPr>
        <w:t>构件的裂缝、缺陷及其他损伤等，</w:t>
      </w:r>
      <w:r>
        <w:rPr>
          <w:rFonts w:hint="eastAsia"/>
          <w:color w:val="auto"/>
          <w:lang w:val="en-US" w:eastAsia="zh-CN"/>
        </w:rPr>
        <w:t>应</w:t>
      </w:r>
      <w:r>
        <w:rPr>
          <w:color w:val="auto"/>
        </w:rPr>
        <w:t>全数</w:t>
      </w:r>
      <w:r>
        <w:rPr>
          <w:rFonts w:hint="eastAsia"/>
          <w:color w:val="auto"/>
          <w:lang w:val="en-US" w:eastAsia="zh-CN"/>
        </w:rPr>
        <w:t>检查</w:t>
      </w:r>
      <w:r>
        <w:rPr>
          <w:rFonts w:hint="eastAsia"/>
          <w:color w:val="auto"/>
          <w:lang w:eastAsia="zh-CN"/>
        </w:rPr>
        <w:t>；</w:t>
      </w:r>
    </w:p>
    <w:p>
      <w:pPr>
        <w:pStyle w:val="36"/>
        <w:bidi w:val="0"/>
        <w:rPr>
          <w:color w:val="auto"/>
        </w:rPr>
      </w:pPr>
      <w:r>
        <w:rPr>
          <w:color w:val="auto"/>
        </w:rPr>
        <w:t>结构</w:t>
      </w:r>
      <w:r>
        <w:rPr>
          <w:rFonts w:hint="eastAsia"/>
          <w:color w:val="auto"/>
          <w:lang w:val="en-US" w:eastAsia="zh-CN"/>
        </w:rPr>
        <w:t>构件布置、重要</w:t>
      </w:r>
      <w:r>
        <w:rPr>
          <w:color w:val="auto"/>
        </w:rPr>
        <w:t>构造</w:t>
      </w:r>
      <w:r>
        <w:rPr>
          <w:rFonts w:hint="eastAsia"/>
          <w:color w:val="auto"/>
          <w:lang w:val="en-US" w:eastAsia="zh-CN"/>
        </w:rPr>
        <w:t>和节点等应全数检查，并宜</w:t>
      </w:r>
      <w:r>
        <w:rPr>
          <w:color w:val="auto"/>
        </w:rPr>
        <w:t>选择对</w:t>
      </w:r>
      <w:r>
        <w:rPr>
          <w:rFonts w:hint="eastAsia"/>
          <w:color w:val="auto"/>
          <w:lang w:val="en-US" w:eastAsia="zh-CN"/>
        </w:rPr>
        <w:t>关键连接</w:t>
      </w:r>
      <w:r>
        <w:rPr>
          <w:color w:val="auto"/>
        </w:rPr>
        <w:t>部位进行抽样</w:t>
      </w:r>
      <w:r>
        <w:rPr>
          <w:rFonts w:hint="eastAsia"/>
          <w:color w:val="auto"/>
          <w:lang w:val="en-US" w:eastAsia="zh-CN"/>
        </w:rPr>
        <w:t>检测</w:t>
      </w:r>
      <w:r>
        <w:rPr>
          <w:rFonts w:hint="eastAsia"/>
          <w:color w:val="auto"/>
          <w:lang w:eastAsia="zh-CN"/>
        </w:rPr>
        <w:t>；</w:t>
      </w:r>
    </w:p>
    <w:p>
      <w:pPr>
        <w:pStyle w:val="36"/>
        <w:bidi w:val="0"/>
        <w:rPr>
          <w:rFonts w:hint="default"/>
          <w:color w:val="auto"/>
          <w:lang w:val="en-US" w:eastAsia="zh-CN"/>
        </w:rPr>
      </w:pPr>
      <w:r>
        <w:rPr>
          <w:rFonts w:hint="eastAsia"/>
          <w:color w:val="auto"/>
          <w:lang w:val="en-US" w:eastAsia="zh-CN"/>
        </w:rPr>
        <w:t>构件材料力学性能、</w:t>
      </w:r>
      <w:r>
        <w:rPr>
          <w:color w:val="auto"/>
        </w:rPr>
        <w:t>几何尺寸与偏差</w:t>
      </w:r>
      <w:r>
        <w:rPr>
          <w:rFonts w:hint="eastAsia"/>
          <w:color w:val="auto"/>
          <w:lang w:eastAsia="zh-CN"/>
        </w:rPr>
        <w:t>、</w:t>
      </w:r>
      <w:r>
        <w:rPr>
          <w:rFonts w:hint="eastAsia"/>
          <w:color w:val="auto"/>
          <w:lang w:val="en-US" w:eastAsia="zh-CN"/>
        </w:rPr>
        <w:t>钢筋配置等应进行验证性检测；</w:t>
      </w:r>
    </w:p>
    <w:p>
      <w:pPr>
        <w:pStyle w:val="36"/>
        <w:bidi w:val="0"/>
        <w:rPr>
          <w:rFonts w:ascii="宋体" w:hAnsi="宋体" w:eastAsia="宋体" w:cs="宋体"/>
          <w:color w:val="auto"/>
          <w:spacing w:val="-12"/>
          <w:sz w:val="22"/>
          <w:szCs w:val="22"/>
        </w:rPr>
      </w:pPr>
      <w:r>
        <w:rPr>
          <w:rFonts w:hint="eastAsia"/>
          <w:color w:val="auto"/>
          <w:lang w:val="en-US" w:eastAsia="zh-CN"/>
        </w:rPr>
        <w:t>构件变形应进行普查，对存在明显位移、</w:t>
      </w:r>
      <w:r>
        <w:rPr>
          <w:color w:val="auto"/>
        </w:rPr>
        <w:t>变形</w:t>
      </w:r>
      <w:r>
        <w:rPr>
          <w:rFonts w:hint="eastAsia"/>
          <w:color w:val="auto"/>
          <w:lang w:val="en-US" w:eastAsia="zh-CN"/>
        </w:rPr>
        <w:t>和偏差的结构</w:t>
      </w:r>
      <w:r>
        <w:rPr>
          <w:color w:val="auto"/>
        </w:rPr>
        <w:t>构件</w:t>
      </w:r>
      <w:r>
        <w:rPr>
          <w:rFonts w:hint="eastAsia"/>
          <w:color w:val="auto"/>
          <w:lang w:val="en-US" w:eastAsia="zh-CN"/>
        </w:rPr>
        <w:t>应全数检测</w:t>
      </w:r>
      <w:r>
        <w:rPr>
          <w:rFonts w:ascii="宋体" w:hAnsi="宋体" w:eastAsia="宋体" w:cs="宋体"/>
          <w:color w:val="auto"/>
          <w:spacing w:val="-12"/>
          <w:sz w:val="22"/>
          <w:szCs w:val="22"/>
        </w:rPr>
        <w:t>。</w:t>
      </w:r>
    </w:p>
    <w:p>
      <w:pPr>
        <w:pStyle w:val="26"/>
        <w:bidi w:val="0"/>
        <w:rPr>
          <w:rFonts w:hint="default"/>
          <w:color w:val="auto"/>
          <w:lang w:val="en-US" w:eastAsia="zh-CN"/>
        </w:rPr>
      </w:pPr>
      <w:r>
        <w:rPr>
          <w:rFonts w:hint="eastAsia"/>
          <w:color w:val="auto"/>
          <w:lang w:val="en-US" w:eastAsia="zh-CN"/>
        </w:rPr>
        <w:t>【条文说明】验证性检测抽样数量，每个检测批不少于2个。检测批指</w:t>
      </w:r>
      <w:r>
        <w:rPr>
          <w:rFonts w:hint="default"/>
          <w:color w:val="auto"/>
          <w:lang w:val="en-US" w:eastAsia="zh-CN"/>
        </w:rPr>
        <w:t>检测项目相同、质量要求和</w:t>
      </w:r>
      <w:r>
        <w:rPr>
          <w:rFonts w:hint="eastAsia"/>
          <w:color w:val="auto"/>
          <w:lang w:val="en-US" w:eastAsia="zh-CN"/>
        </w:rPr>
        <w:t>生产工艺</w:t>
      </w:r>
      <w:r>
        <w:rPr>
          <w:rFonts w:hint="default"/>
          <w:color w:val="auto"/>
          <w:lang w:val="en-US" w:eastAsia="zh-CN"/>
        </w:rPr>
        <w:t>等基本相同，环境条件或损伤程度相近</w:t>
      </w:r>
      <w:r>
        <w:rPr>
          <w:rFonts w:hint="eastAsia"/>
          <w:color w:val="auto"/>
          <w:lang w:val="en-US" w:eastAsia="zh-CN"/>
        </w:rPr>
        <w:t>的</w:t>
      </w:r>
      <w:r>
        <w:rPr>
          <w:rFonts w:hint="default"/>
          <w:color w:val="auto"/>
          <w:lang w:val="en-US" w:eastAsia="zh-CN"/>
        </w:rPr>
        <w:t>由一定数量构件等构成的检测对象</w:t>
      </w:r>
      <w:r>
        <w:rPr>
          <w:rFonts w:hint="eastAsia"/>
          <w:color w:val="auto"/>
          <w:lang w:val="en-US" w:eastAsia="zh-CN"/>
        </w:rPr>
        <w:t>。</w:t>
      </w:r>
    </w:p>
    <w:p>
      <w:pPr>
        <w:pStyle w:val="3"/>
        <w:bidi w:val="0"/>
        <w:ind w:left="0" w:leftChars="0" w:firstLine="0" w:firstLineChars="0"/>
        <w:rPr>
          <w:rFonts w:hint="default"/>
          <w:color w:val="auto"/>
          <w:lang w:val="en-US" w:eastAsia="zh-CN"/>
        </w:rPr>
      </w:pPr>
      <w:bookmarkStart w:id="34" w:name="_Toc9965"/>
      <w:bookmarkStart w:id="35" w:name="_Toc11429"/>
      <w:r>
        <w:rPr>
          <w:rFonts w:hint="eastAsia"/>
          <w:color w:val="auto"/>
          <w:lang w:val="en-US" w:eastAsia="zh-CN"/>
        </w:rPr>
        <w:t>现场检查检测</w:t>
      </w:r>
      <w:bookmarkEnd w:id="34"/>
      <w:bookmarkEnd w:id="35"/>
    </w:p>
    <w:p>
      <w:pPr>
        <w:pStyle w:val="5"/>
        <w:bidi w:val="0"/>
        <w:ind w:left="0" w:leftChars="0" w:firstLine="0" w:firstLineChars="0"/>
        <w:rPr>
          <w:rFonts w:hint="eastAsia"/>
          <w:color w:val="auto"/>
          <w:lang w:val="en-US" w:eastAsia="zh-CN"/>
        </w:rPr>
      </w:pPr>
      <w:r>
        <w:rPr>
          <w:rFonts w:hint="eastAsia"/>
          <w:color w:val="auto"/>
          <w:lang w:val="en-US" w:eastAsia="zh-CN"/>
        </w:rPr>
        <w:t>现场检查检测应符合下列规定：</w:t>
      </w:r>
    </w:p>
    <w:p>
      <w:pPr>
        <w:pStyle w:val="36"/>
        <w:bidi w:val="0"/>
        <w:rPr>
          <w:rFonts w:hint="eastAsia"/>
          <w:color w:val="auto"/>
          <w:lang w:val="en-US" w:eastAsia="zh-CN"/>
        </w:rPr>
      </w:pPr>
      <w:r>
        <w:rPr>
          <w:rFonts w:hint="eastAsia"/>
          <w:color w:val="auto"/>
          <w:lang w:val="en-US" w:eastAsia="zh-CN"/>
        </w:rPr>
        <w:t>地基基础检查检测一般包括下列工作内容：</w:t>
      </w:r>
    </w:p>
    <w:p>
      <w:pPr>
        <w:pStyle w:val="37"/>
        <w:bidi w:val="0"/>
        <w:rPr>
          <w:rFonts w:hint="eastAsia"/>
          <w:color w:val="auto"/>
          <w:lang w:val="en-US" w:eastAsia="zh-CN"/>
        </w:rPr>
      </w:pPr>
      <w:r>
        <w:rPr>
          <w:rFonts w:hint="eastAsia"/>
          <w:color w:val="auto"/>
          <w:lang w:val="en-US" w:eastAsia="zh-CN"/>
        </w:rPr>
        <w:t>场地类别与地基土，包括土层分布及下卧层情况；</w:t>
      </w:r>
    </w:p>
    <w:p>
      <w:pPr>
        <w:pStyle w:val="37"/>
        <w:bidi w:val="0"/>
        <w:rPr>
          <w:rFonts w:hint="eastAsia"/>
          <w:color w:val="auto"/>
          <w:lang w:val="en-US" w:eastAsia="zh-CN"/>
        </w:rPr>
      </w:pPr>
      <w:r>
        <w:rPr>
          <w:rFonts w:hint="eastAsia"/>
          <w:color w:val="auto"/>
          <w:lang w:val="en-US" w:eastAsia="zh-CN"/>
        </w:rPr>
        <w:t>地基稳定性；</w:t>
      </w:r>
    </w:p>
    <w:p>
      <w:pPr>
        <w:pStyle w:val="37"/>
        <w:bidi w:val="0"/>
        <w:rPr>
          <w:rFonts w:hint="eastAsia"/>
          <w:color w:val="auto"/>
          <w:lang w:val="en-US" w:eastAsia="zh-CN"/>
        </w:rPr>
      </w:pPr>
      <w:r>
        <w:rPr>
          <w:rFonts w:hint="eastAsia"/>
          <w:color w:val="auto"/>
          <w:lang w:val="en-US" w:eastAsia="zh-CN"/>
        </w:rPr>
        <w:t>地基变形及其在上部结构中的反应；</w:t>
      </w:r>
    </w:p>
    <w:p>
      <w:pPr>
        <w:pStyle w:val="37"/>
        <w:bidi w:val="0"/>
        <w:rPr>
          <w:rFonts w:hint="eastAsia"/>
          <w:color w:val="auto"/>
          <w:lang w:val="en-US" w:eastAsia="zh-CN"/>
        </w:rPr>
      </w:pPr>
      <w:r>
        <w:rPr>
          <w:rFonts w:hint="eastAsia"/>
          <w:color w:val="auto"/>
          <w:lang w:val="en-US" w:eastAsia="zh-CN"/>
        </w:rPr>
        <w:t>基础和桩的工作状态评估，必要时，也可针对开裂、腐蚀或其他损坏等情况进行开挖检查；</w:t>
      </w:r>
    </w:p>
    <w:p>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720" w:firstLineChars="300"/>
        <w:jc w:val="left"/>
        <w:textAlignment w:val="auto"/>
        <w:rPr>
          <w:rFonts w:hint="eastAsia" w:asciiTheme="minorEastAsia" w:hAnsiTheme="minorEastAsia" w:eastAsiaTheme="minorEastAsia" w:cstheme="minorEastAsia"/>
          <w:color w:val="auto"/>
          <w:kern w:val="0"/>
          <w:sz w:val="24"/>
          <w:szCs w:val="24"/>
          <w:lang w:val="en-US" w:eastAsia="zh-CN" w:bidi="ar"/>
        </w:rPr>
      </w:pPr>
      <w:r>
        <w:rPr>
          <w:rFonts w:hint="eastAsia" w:asciiTheme="minorEastAsia" w:hAnsiTheme="minorEastAsia" w:eastAsiaTheme="minorEastAsia" w:cstheme="minorEastAsia"/>
          <w:color w:val="auto"/>
          <w:kern w:val="0"/>
          <w:sz w:val="24"/>
          <w:szCs w:val="24"/>
          <w:lang w:val="en-US" w:eastAsia="zh-CN" w:bidi="ar"/>
        </w:rPr>
        <w:t>5） 其他因素，包括邻近地基施工、地基水土流失等的影响或作用。</w:t>
      </w:r>
    </w:p>
    <w:p>
      <w:pPr>
        <w:pStyle w:val="36"/>
        <w:bidi w:val="0"/>
        <w:ind w:firstLine="402"/>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结构体系</w:t>
      </w:r>
      <w:r>
        <w:rPr>
          <w:rFonts w:hint="eastAsia"/>
          <w:color w:val="auto"/>
          <w:lang w:val="en-US" w:eastAsia="zh-CN"/>
        </w:rPr>
        <w:t>检查检测一般包括下列工作内容：</w:t>
      </w:r>
    </w:p>
    <w:p>
      <w:pPr>
        <w:pStyle w:val="37"/>
        <w:bidi w:val="0"/>
        <w:rPr>
          <w:rFonts w:hint="eastAsia"/>
          <w:color w:val="auto"/>
          <w:lang w:val="en-US" w:eastAsia="zh-CN"/>
        </w:rPr>
      </w:pPr>
      <w:r>
        <w:rPr>
          <w:rFonts w:hint="eastAsia"/>
          <w:color w:val="auto"/>
          <w:lang w:val="en-US" w:eastAsia="zh-CN"/>
        </w:rPr>
        <w:t>结构体系类型及竖向体型、平面布置；</w:t>
      </w:r>
    </w:p>
    <w:p>
      <w:pPr>
        <w:pStyle w:val="37"/>
        <w:bidi w:val="0"/>
        <w:rPr>
          <w:rFonts w:hint="eastAsia"/>
          <w:color w:val="auto"/>
          <w:lang w:val="en-US" w:eastAsia="zh-CN"/>
        </w:rPr>
      </w:pPr>
      <w:r>
        <w:rPr>
          <w:rFonts w:hint="eastAsia"/>
          <w:color w:val="auto"/>
          <w:lang w:val="en-US" w:eastAsia="zh-CN"/>
        </w:rPr>
        <w:t xml:space="preserve">结构拆改情况； </w:t>
      </w:r>
    </w:p>
    <w:p>
      <w:pPr>
        <w:pStyle w:val="37"/>
        <w:bidi w:val="0"/>
        <w:rPr>
          <w:rFonts w:hint="default"/>
          <w:color w:val="auto"/>
          <w:lang w:val="en-US" w:eastAsia="zh-CN"/>
        </w:rPr>
      </w:pPr>
      <w:r>
        <w:rPr>
          <w:rFonts w:hint="eastAsia"/>
          <w:color w:val="auto"/>
          <w:lang w:val="en-US" w:eastAsia="zh-CN"/>
        </w:rPr>
        <w:t>结构的整体性及稳定性；</w:t>
      </w:r>
    </w:p>
    <w:p>
      <w:pPr>
        <w:pStyle w:val="37"/>
        <w:bidi w:val="0"/>
        <w:rPr>
          <w:rFonts w:hint="eastAsia"/>
          <w:color w:val="auto"/>
          <w:lang w:val="en-US" w:eastAsia="zh-CN"/>
        </w:rPr>
      </w:pPr>
      <w:r>
        <w:rPr>
          <w:rFonts w:hint="eastAsia"/>
          <w:color w:val="auto"/>
          <w:lang w:val="en-US" w:eastAsia="zh-CN"/>
        </w:rPr>
        <w:t>结构支承或支座构造、构件及其连接构造；</w:t>
      </w:r>
    </w:p>
    <w:p>
      <w:pPr>
        <w:pStyle w:val="37"/>
        <w:bidi w:val="0"/>
        <w:rPr>
          <w:rFonts w:hint="eastAsia"/>
          <w:color w:val="auto"/>
          <w:lang w:val="en-US" w:eastAsia="zh-CN"/>
        </w:rPr>
      </w:pPr>
      <w:r>
        <w:rPr>
          <w:rFonts w:hint="eastAsia"/>
          <w:color w:val="auto"/>
          <w:lang w:val="en-US" w:eastAsia="zh-CN"/>
        </w:rPr>
        <w:t>建筑物侧向位移，包括上部结构倾斜、基础变形和结构局部变形。</w:t>
      </w:r>
    </w:p>
    <w:p>
      <w:pPr>
        <w:pStyle w:val="36"/>
        <w:bidi w:val="0"/>
        <w:ind w:firstLine="402"/>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结构使用条件</w:t>
      </w:r>
      <w:r>
        <w:rPr>
          <w:rFonts w:hint="eastAsia"/>
          <w:color w:val="auto"/>
          <w:lang w:val="en-US" w:eastAsia="zh-CN"/>
        </w:rPr>
        <w:t>检查一般包括下列工作内容：</w:t>
      </w:r>
    </w:p>
    <w:p>
      <w:pPr>
        <w:pStyle w:val="37"/>
        <w:bidi w:val="0"/>
        <w:rPr>
          <w:rFonts w:hint="eastAsia"/>
          <w:color w:val="auto"/>
          <w:lang w:val="en-US" w:eastAsia="zh-CN"/>
        </w:rPr>
      </w:pPr>
      <w:r>
        <w:rPr>
          <w:rFonts w:hint="eastAsia"/>
          <w:color w:val="auto"/>
          <w:lang w:val="en-US" w:eastAsia="zh-CN"/>
        </w:rPr>
        <w:t>结构上的作用(荷载)及其变化历史；</w:t>
      </w:r>
    </w:p>
    <w:p>
      <w:pPr>
        <w:pStyle w:val="37"/>
        <w:bidi w:val="0"/>
        <w:rPr>
          <w:rFonts w:hint="eastAsia"/>
          <w:color w:val="auto"/>
          <w:lang w:val="en-US" w:eastAsia="zh-CN"/>
        </w:rPr>
      </w:pPr>
      <w:r>
        <w:rPr>
          <w:rFonts w:hint="eastAsia"/>
          <w:color w:val="auto"/>
          <w:lang w:val="en-US" w:eastAsia="zh-CN"/>
        </w:rPr>
        <w:t>未来可能遭受的灾害，如风灾、火灾、洪灾、雪灾等；</w:t>
      </w:r>
    </w:p>
    <w:p>
      <w:pPr>
        <w:pStyle w:val="37"/>
        <w:bidi w:val="0"/>
        <w:rPr>
          <w:rFonts w:hint="eastAsia"/>
          <w:color w:val="auto"/>
          <w:lang w:val="en-US" w:eastAsia="zh-CN"/>
        </w:rPr>
      </w:pPr>
      <w:r>
        <w:rPr>
          <w:rFonts w:hint="eastAsia"/>
          <w:color w:val="auto"/>
          <w:lang w:val="en-US" w:eastAsia="zh-CN"/>
        </w:rPr>
        <w:t>对结构可能造成损害的室内外环境；</w:t>
      </w:r>
    </w:p>
    <w:p>
      <w:pPr>
        <w:pStyle w:val="37"/>
        <w:bidi w:val="0"/>
        <w:rPr>
          <w:rFonts w:hint="eastAsia"/>
          <w:color w:val="auto"/>
          <w:lang w:val="en-US" w:eastAsia="zh-CN"/>
        </w:rPr>
      </w:pPr>
      <w:r>
        <w:rPr>
          <w:rFonts w:hint="eastAsia"/>
          <w:color w:val="auto"/>
          <w:lang w:val="en-US" w:eastAsia="zh-CN"/>
        </w:rPr>
        <w:t>后续工作期间荷载可能变化情况；</w:t>
      </w:r>
    </w:p>
    <w:p>
      <w:pPr>
        <w:pStyle w:val="37"/>
        <w:bidi w:val="0"/>
        <w:rPr>
          <w:rFonts w:hint="eastAsia"/>
          <w:color w:val="auto"/>
          <w:lang w:val="en-US" w:eastAsia="zh-CN"/>
        </w:rPr>
      </w:pPr>
      <w:r>
        <w:rPr>
          <w:rFonts w:hint="eastAsia"/>
          <w:color w:val="auto"/>
          <w:lang w:val="en-US" w:eastAsia="zh-CN"/>
        </w:rPr>
        <w:t>设计采用的结构模型与实际情况的差异。</w:t>
      </w:r>
    </w:p>
    <w:p>
      <w:pPr>
        <w:pStyle w:val="36"/>
        <w:bidi w:val="0"/>
        <w:ind w:firstLine="402"/>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结构构件与围护构件</w:t>
      </w:r>
      <w:r>
        <w:rPr>
          <w:rFonts w:hint="eastAsia"/>
          <w:color w:val="auto"/>
          <w:lang w:val="en-US" w:eastAsia="zh-CN"/>
        </w:rPr>
        <w:t>检查检测一般包括下列工作内容：</w:t>
      </w:r>
    </w:p>
    <w:p>
      <w:pPr>
        <w:pStyle w:val="37"/>
        <w:bidi w:val="0"/>
        <w:rPr>
          <w:rFonts w:hint="eastAsia"/>
          <w:color w:val="auto"/>
          <w:lang w:val="en-US" w:eastAsia="zh-CN"/>
        </w:rPr>
      </w:pPr>
      <w:r>
        <w:rPr>
          <w:rFonts w:hint="eastAsia"/>
          <w:color w:val="auto"/>
          <w:lang w:val="en-US" w:eastAsia="zh-CN"/>
        </w:rPr>
        <w:t>构件和连接件的几何参数；</w:t>
      </w:r>
    </w:p>
    <w:p>
      <w:pPr>
        <w:pStyle w:val="37"/>
        <w:bidi w:val="0"/>
        <w:rPr>
          <w:rFonts w:hint="eastAsia"/>
          <w:color w:val="auto"/>
          <w:lang w:val="en-US" w:eastAsia="zh-CN"/>
        </w:rPr>
      </w:pPr>
      <w:r>
        <w:rPr>
          <w:rFonts w:hint="eastAsia"/>
          <w:color w:val="auto"/>
          <w:lang w:val="en-US" w:eastAsia="zh-CN"/>
        </w:rPr>
        <w:t>构件及其连接的工作情况；</w:t>
      </w:r>
    </w:p>
    <w:p>
      <w:pPr>
        <w:pStyle w:val="37"/>
        <w:bidi w:val="0"/>
        <w:rPr>
          <w:rFonts w:hint="eastAsia"/>
          <w:color w:val="auto"/>
          <w:lang w:val="en-US" w:eastAsia="zh-CN"/>
        </w:rPr>
      </w:pPr>
      <w:r>
        <w:rPr>
          <w:rFonts w:hint="eastAsia"/>
          <w:color w:val="auto"/>
          <w:lang w:val="en-US" w:eastAsia="zh-CN"/>
        </w:rPr>
        <w:t>结构支承或支座的工作情况；</w:t>
      </w:r>
    </w:p>
    <w:p>
      <w:pPr>
        <w:pStyle w:val="37"/>
        <w:bidi w:val="0"/>
        <w:rPr>
          <w:rFonts w:hint="eastAsia"/>
          <w:color w:val="auto"/>
          <w:lang w:val="en-US" w:eastAsia="zh-CN"/>
        </w:rPr>
      </w:pPr>
      <w:r>
        <w:rPr>
          <w:rFonts w:hint="eastAsia"/>
          <w:color w:val="auto"/>
          <w:lang w:val="en-US" w:eastAsia="zh-CN"/>
        </w:rPr>
        <w:t>裂缝及其他损伤的情况；</w:t>
      </w:r>
    </w:p>
    <w:p>
      <w:pPr>
        <w:pStyle w:val="37"/>
        <w:bidi w:val="0"/>
        <w:rPr>
          <w:rFonts w:hint="eastAsia"/>
          <w:color w:val="auto"/>
          <w:lang w:val="en-US" w:eastAsia="zh-CN"/>
        </w:rPr>
      </w:pPr>
      <w:r>
        <w:rPr>
          <w:rFonts w:hint="eastAsia"/>
          <w:color w:val="auto"/>
          <w:lang w:val="en-US" w:eastAsia="zh-CN"/>
        </w:rPr>
        <w:t>局部易倒塌、坠落构配件检查。</w:t>
      </w:r>
    </w:p>
    <w:p>
      <w:pPr>
        <w:pStyle w:val="36"/>
        <w:bidi w:val="0"/>
        <w:ind w:firstLine="402"/>
        <w:rPr>
          <w:rFonts w:hint="eastAsia" w:ascii="Times New Roman" w:hAnsi="Times New Roman" w:eastAsia="宋体"/>
          <w:color w:val="auto"/>
          <w:lang w:val="en-US" w:eastAsia="zh-CN"/>
        </w:rPr>
      </w:pPr>
      <w:r>
        <w:rPr>
          <w:rFonts w:hint="eastAsia" w:ascii="Times New Roman" w:hAnsi="Times New Roman" w:eastAsia="宋体"/>
          <w:color w:val="auto"/>
          <w:lang w:val="en-US" w:eastAsia="zh-CN"/>
        </w:rPr>
        <w:t>材料性能</w:t>
      </w:r>
      <w:r>
        <w:rPr>
          <w:rFonts w:hint="eastAsia"/>
          <w:color w:val="auto"/>
          <w:lang w:val="en-US" w:eastAsia="zh-CN"/>
        </w:rPr>
        <w:t>检查检测一般包括下列工作内容：</w:t>
      </w:r>
    </w:p>
    <w:p>
      <w:pPr>
        <w:pStyle w:val="37"/>
        <w:bidi w:val="0"/>
        <w:rPr>
          <w:rFonts w:hint="eastAsia"/>
          <w:color w:val="auto"/>
          <w:lang w:val="en-US" w:eastAsia="zh-CN"/>
        </w:rPr>
      </w:pPr>
      <w:r>
        <w:rPr>
          <w:rFonts w:hint="eastAsia"/>
          <w:color w:val="auto"/>
          <w:lang w:val="en-US" w:eastAsia="zh-CN"/>
        </w:rPr>
        <w:t>结构构件材料；</w:t>
      </w:r>
    </w:p>
    <w:p>
      <w:pPr>
        <w:pStyle w:val="37"/>
        <w:bidi w:val="0"/>
        <w:rPr>
          <w:rFonts w:hint="eastAsia"/>
          <w:color w:val="auto"/>
          <w:lang w:val="en-US" w:eastAsia="zh-CN"/>
        </w:rPr>
      </w:pPr>
      <w:r>
        <w:rPr>
          <w:rFonts w:hint="eastAsia"/>
          <w:color w:val="auto"/>
          <w:lang w:val="en-US" w:eastAsia="zh-CN"/>
        </w:rPr>
        <w:t>连接材料；</w:t>
      </w:r>
    </w:p>
    <w:p>
      <w:pPr>
        <w:pStyle w:val="37"/>
        <w:bidi w:val="0"/>
        <w:rPr>
          <w:rFonts w:hint="eastAsia"/>
          <w:color w:val="auto"/>
          <w:lang w:val="en-US" w:eastAsia="zh-CN"/>
        </w:rPr>
      </w:pPr>
      <w:r>
        <w:rPr>
          <w:rFonts w:hint="eastAsia"/>
          <w:color w:val="auto"/>
          <w:lang w:val="en-US" w:eastAsia="zh-CN"/>
        </w:rPr>
        <w:t>其他材料。</w:t>
      </w:r>
    </w:p>
    <w:p>
      <w:pPr>
        <w:pStyle w:val="26"/>
        <w:bidi w:val="0"/>
        <w:rPr>
          <w:rFonts w:hint="eastAsia" w:ascii="Times New Roman" w:hAnsi="Times New Roman"/>
          <w:color w:val="auto"/>
          <w:lang w:val="en-US" w:eastAsia="zh-CN"/>
        </w:rPr>
      </w:pPr>
      <w:r>
        <w:rPr>
          <w:rFonts w:hint="eastAsia"/>
          <w:color w:val="auto"/>
          <w:lang w:val="en-US" w:eastAsia="zh-CN"/>
        </w:rPr>
        <w:t>【条文说明】</w:t>
      </w:r>
      <w:r>
        <w:rPr>
          <w:rFonts w:hint="eastAsia" w:ascii="Times New Roman" w:hAnsi="Times New Roman"/>
          <w:color w:val="auto"/>
          <w:lang w:val="en-US" w:eastAsia="zh-CN"/>
        </w:rPr>
        <w:t>建筑现状的</w:t>
      </w:r>
      <w:r>
        <w:rPr>
          <w:rFonts w:hint="eastAsia"/>
          <w:color w:val="auto"/>
          <w:lang w:val="en-US" w:eastAsia="zh-CN"/>
        </w:rPr>
        <w:t>检查</w:t>
      </w:r>
      <w:r>
        <w:rPr>
          <w:rFonts w:hint="eastAsia" w:ascii="Times New Roman" w:hAnsi="Times New Roman"/>
          <w:color w:val="auto"/>
          <w:lang w:val="en-US" w:eastAsia="zh-CN"/>
        </w:rPr>
        <w:t>主要有三</w:t>
      </w:r>
      <w:r>
        <w:rPr>
          <w:rFonts w:hint="eastAsia"/>
          <w:color w:val="auto"/>
          <w:lang w:val="en-US" w:eastAsia="zh-CN"/>
        </w:rPr>
        <w:t>方面</w:t>
      </w:r>
      <w:r>
        <w:rPr>
          <w:rFonts w:hint="eastAsia" w:ascii="Times New Roman" w:hAnsi="Times New Roman"/>
          <w:color w:val="auto"/>
          <w:lang w:val="en-US" w:eastAsia="zh-CN"/>
        </w:rPr>
        <w:t>内容：其一，结构是否存在影响结构整体稳定性的情况，主要检查相关结构概念设计</w:t>
      </w:r>
      <w:r>
        <w:rPr>
          <w:rFonts w:hint="eastAsia"/>
          <w:color w:val="auto"/>
          <w:lang w:val="en-US" w:eastAsia="zh-CN"/>
        </w:rPr>
        <w:t>方面的</w:t>
      </w:r>
      <w:r>
        <w:rPr>
          <w:rFonts w:hint="eastAsia" w:ascii="Times New Roman" w:hAnsi="Times New Roman"/>
          <w:color w:val="auto"/>
          <w:lang w:val="en-US" w:eastAsia="zh-CN"/>
        </w:rPr>
        <w:t>内容；其二，建筑的使用状况与原设计或竣工时有无不同；其三，结构构件的变形、裂缝、损伤情况，以便分析对承载力影响程度。现场应查明结构构件、节点实际受力等情况与结构设计采用的理论计算模型是否相符，这是进行正确验算及鉴定的前提。例如：实际结构节点、支座、构件受力是否受各种因素影响与设计要求的条件发生较大变化，如节点刚接或铰接形式发生变化，对计算结果会产生根本性的影响，应高度重视。</w:t>
      </w:r>
    </w:p>
    <w:p>
      <w:pPr>
        <w:pStyle w:val="5"/>
        <w:bidi w:val="0"/>
        <w:ind w:left="0" w:leftChars="0" w:firstLine="0" w:firstLineChars="0"/>
        <w:rPr>
          <w:rFonts w:hint="eastAsia"/>
          <w:color w:val="auto"/>
          <w:lang w:val="en-US" w:eastAsia="zh-CN"/>
        </w:rPr>
      </w:pPr>
      <w:bookmarkStart w:id="36" w:name="bookmark16"/>
      <w:bookmarkEnd w:id="36"/>
      <w:r>
        <w:rPr>
          <w:rFonts w:hint="eastAsia"/>
          <w:color w:val="auto"/>
          <w:lang w:val="en-US" w:eastAsia="zh-CN"/>
        </w:rPr>
        <w:t>检查检测时，应根据结构类型区分重点部位和一般部位，以结构的倾斜变形和局部歪闪、构件和连接节点位移变形及损伤、结构构件的材质与强度为主要检测项目。</w:t>
      </w:r>
    </w:p>
    <w:p>
      <w:pPr>
        <w:pStyle w:val="26"/>
        <w:bidi w:val="0"/>
        <w:rPr>
          <w:rFonts w:hint="eastAsia"/>
          <w:color w:val="auto"/>
          <w:lang w:val="en-US" w:eastAsia="zh-CN"/>
        </w:rPr>
      </w:pPr>
      <w:r>
        <w:rPr>
          <w:rFonts w:hint="eastAsia"/>
          <w:color w:val="auto"/>
          <w:lang w:val="en-US" w:eastAsia="zh-CN"/>
        </w:rPr>
        <w:t>【条文说明】现场检测项目和内容应根据微鉴定需要确定。对钢结构和木结构，还应重点检查下列部位的钢材腐蚀或木材腐朽、虫蛀状况：</w:t>
      </w:r>
    </w:p>
    <w:p>
      <w:pPr>
        <w:pStyle w:val="26"/>
        <w:bidi w:val="0"/>
        <w:rPr>
          <w:rFonts w:hint="eastAsia"/>
          <w:color w:val="auto"/>
          <w:lang w:val="en-US" w:eastAsia="zh-CN"/>
        </w:rPr>
      </w:pPr>
      <w:r>
        <w:rPr>
          <w:rFonts w:hint="eastAsia"/>
          <w:color w:val="auto"/>
          <w:lang w:val="en-US" w:eastAsia="zh-CN"/>
        </w:rPr>
        <w:t>1  埋入地下构件的接近地面部位；</w:t>
      </w:r>
    </w:p>
    <w:p>
      <w:pPr>
        <w:pStyle w:val="26"/>
        <w:bidi w:val="0"/>
        <w:rPr>
          <w:rFonts w:hint="eastAsia"/>
          <w:color w:val="auto"/>
          <w:lang w:val="en-US" w:eastAsia="zh-CN"/>
        </w:rPr>
      </w:pPr>
      <w:r>
        <w:rPr>
          <w:rFonts w:hint="eastAsia"/>
          <w:color w:val="auto"/>
          <w:lang w:val="en-US" w:eastAsia="zh-CN"/>
        </w:rPr>
        <w:t>2  易积水或遭受水蒸气侵袭部位；</w:t>
      </w:r>
    </w:p>
    <w:p>
      <w:pPr>
        <w:pStyle w:val="26"/>
        <w:bidi w:val="0"/>
        <w:rPr>
          <w:rFonts w:hint="eastAsia"/>
          <w:color w:val="auto"/>
          <w:lang w:val="en-US" w:eastAsia="zh-CN"/>
        </w:rPr>
      </w:pPr>
      <w:r>
        <w:rPr>
          <w:rFonts w:hint="eastAsia"/>
          <w:color w:val="auto"/>
          <w:lang w:val="en-US" w:eastAsia="zh-CN"/>
        </w:rPr>
        <w:t>3  受干湿交替作用的构件或节点、连接；</w:t>
      </w:r>
    </w:p>
    <w:p>
      <w:pPr>
        <w:pStyle w:val="26"/>
        <w:bidi w:val="0"/>
        <w:rPr>
          <w:rFonts w:hint="eastAsia"/>
          <w:color w:val="auto"/>
          <w:lang w:val="en-US" w:eastAsia="zh-CN"/>
        </w:rPr>
      </w:pPr>
      <w:r>
        <w:rPr>
          <w:rFonts w:hint="eastAsia"/>
          <w:color w:val="auto"/>
          <w:lang w:val="en-US" w:eastAsia="zh-CN"/>
        </w:rPr>
        <w:t>4  易积灰的潮湿部位；</w:t>
      </w:r>
    </w:p>
    <w:p>
      <w:pPr>
        <w:pStyle w:val="26"/>
        <w:bidi w:val="0"/>
        <w:rPr>
          <w:rFonts w:hint="eastAsia"/>
          <w:color w:val="auto"/>
          <w:lang w:val="en-US" w:eastAsia="zh-CN"/>
        </w:rPr>
      </w:pPr>
      <w:r>
        <w:rPr>
          <w:rFonts w:hint="eastAsia"/>
          <w:color w:val="auto"/>
          <w:lang w:val="en-US" w:eastAsia="zh-CN"/>
        </w:rPr>
        <w:t>5  组合截面空隙小于20mm的不易喷刷涂层的部位；</w:t>
      </w:r>
    </w:p>
    <w:p>
      <w:pPr>
        <w:pStyle w:val="5"/>
        <w:bidi w:val="0"/>
        <w:ind w:left="0" w:leftChars="0" w:firstLine="0" w:firstLineChars="0"/>
        <w:rPr>
          <w:rFonts w:hint="eastAsia"/>
          <w:color w:val="auto"/>
          <w:lang w:val="en-US" w:eastAsia="zh-CN"/>
        </w:rPr>
      </w:pPr>
      <w:r>
        <w:rPr>
          <w:rFonts w:hint="eastAsia"/>
          <w:color w:val="auto"/>
          <w:lang w:val="en-US" w:eastAsia="zh-CN"/>
        </w:rPr>
        <w:t>围护构件的现状检查，应根据不同围护系统的特点，对围护构件及其连接的位移变形和损伤进行检查；必要时，尚应按现行有关标准规定对材料性能进行取样检测。</w:t>
      </w:r>
    </w:p>
    <w:p>
      <w:pPr>
        <w:pStyle w:val="3"/>
        <w:bidi w:val="0"/>
        <w:ind w:left="0" w:leftChars="0" w:firstLine="0" w:firstLineChars="0"/>
        <w:rPr>
          <w:rFonts w:hint="eastAsia"/>
          <w:color w:val="auto"/>
          <w:lang w:val="en-US" w:eastAsia="zh-CN"/>
        </w:rPr>
      </w:pPr>
      <w:bookmarkStart w:id="37" w:name="_Toc15218"/>
      <w:bookmarkStart w:id="38" w:name="_Toc4757"/>
      <w:r>
        <w:rPr>
          <w:color w:val="auto"/>
        </w:rPr>
        <w:t>复核</w:t>
      </w:r>
      <w:r>
        <w:rPr>
          <w:rFonts w:hint="eastAsia"/>
          <w:color w:val="auto"/>
          <w:lang w:val="en-US" w:eastAsia="zh-CN"/>
        </w:rPr>
        <w:t>验算</w:t>
      </w:r>
      <w:bookmarkEnd w:id="37"/>
      <w:bookmarkEnd w:id="38"/>
    </w:p>
    <w:p>
      <w:pPr>
        <w:pStyle w:val="5"/>
        <w:bidi w:val="0"/>
        <w:ind w:left="0" w:leftChars="0" w:firstLine="0" w:firstLineChars="0"/>
        <w:rPr>
          <w:color w:val="auto"/>
        </w:rPr>
      </w:pPr>
      <w:r>
        <w:rPr>
          <w:color w:val="auto"/>
        </w:rPr>
        <w:t>结构</w:t>
      </w:r>
      <w:r>
        <w:rPr>
          <w:rFonts w:hint="eastAsia"/>
          <w:color w:val="auto"/>
          <w:lang w:val="en-US" w:eastAsia="zh-CN"/>
        </w:rPr>
        <w:t>构件</w:t>
      </w:r>
      <w:r>
        <w:rPr>
          <w:color w:val="auto"/>
        </w:rPr>
        <w:t>复核</w:t>
      </w:r>
      <w:r>
        <w:rPr>
          <w:rFonts w:hint="eastAsia"/>
          <w:color w:val="auto"/>
          <w:lang w:val="en-US" w:eastAsia="zh-CN"/>
        </w:rPr>
        <w:t>验算</w:t>
      </w:r>
      <w:r>
        <w:rPr>
          <w:color w:val="auto"/>
        </w:rPr>
        <w:t>应符合下列要求：</w:t>
      </w:r>
    </w:p>
    <w:p>
      <w:pPr>
        <w:pStyle w:val="36"/>
        <w:bidi w:val="0"/>
        <w:rPr>
          <w:color w:val="auto"/>
        </w:rPr>
      </w:pPr>
      <w:r>
        <w:rPr>
          <w:color w:val="auto"/>
        </w:rPr>
        <w:t>复核验算的分析方法应符合国家相关标准、规范的规定</w:t>
      </w:r>
      <w:r>
        <w:rPr>
          <w:rFonts w:hint="eastAsia"/>
          <w:color w:val="auto"/>
          <w:lang w:eastAsia="zh-CN"/>
        </w:rPr>
        <w:t>；</w:t>
      </w:r>
    </w:p>
    <w:p>
      <w:pPr>
        <w:pStyle w:val="36"/>
        <w:bidi w:val="0"/>
        <w:rPr>
          <w:color w:val="auto"/>
        </w:rPr>
      </w:pPr>
      <w:r>
        <w:rPr>
          <w:color w:val="auto"/>
        </w:rPr>
        <w:t>所采用的计算模型应符合</w:t>
      </w:r>
      <w:r>
        <w:rPr>
          <w:rFonts w:hint="eastAsia"/>
          <w:color w:val="auto"/>
          <w:lang w:val="en-US" w:eastAsia="zh-CN"/>
        </w:rPr>
        <w:t>结构</w:t>
      </w:r>
      <w:r>
        <w:rPr>
          <w:color w:val="auto"/>
        </w:rPr>
        <w:t>实际受力和构造状况</w:t>
      </w:r>
      <w:r>
        <w:rPr>
          <w:rFonts w:hint="eastAsia"/>
          <w:color w:val="auto"/>
          <w:lang w:eastAsia="zh-CN"/>
        </w:rPr>
        <w:t>；</w:t>
      </w:r>
    </w:p>
    <w:p>
      <w:pPr>
        <w:pStyle w:val="36"/>
        <w:bidi w:val="0"/>
        <w:rPr>
          <w:color w:val="auto"/>
        </w:rPr>
      </w:pPr>
      <w:r>
        <w:rPr>
          <w:color w:val="auto"/>
        </w:rPr>
        <w:t>结构和构件</w:t>
      </w:r>
      <w:r>
        <w:rPr>
          <w:rFonts w:hint="eastAsia"/>
          <w:color w:val="auto"/>
          <w:lang w:val="en-US" w:eastAsia="zh-CN"/>
        </w:rPr>
        <w:t>计算参数应根据检测结果按下列要求确定：</w:t>
      </w:r>
    </w:p>
    <w:p>
      <w:pPr>
        <w:pStyle w:val="37"/>
        <w:bidi w:val="0"/>
        <w:rPr>
          <w:color w:val="auto"/>
          <w:highlight w:val="none"/>
        </w:rPr>
      </w:pPr>
      <w:r>
        <w:rPr>
          <w:color w:val="auto"/>
          <w:highlight w:val="none"/>
        </w:rPr>
        <w:t>当</w:t>
      </w:r>
      <w:r>
        <w:rPr>
          <w:rFonts w:hint="eastAsia"/>
          <w:color w:val="auto"/>
          <w:highlight w:val="none"/>
          <w:lang w:val="en-US" w:eastAsia="zh-CN"/>
        </w:rPr>
        <w:t>检测结果</w:t>
      </w:r>
      <w:r>
        <w:rPr>
          <w:color w:val="auto"/>
          <w:highlight w:val="none"/>
        </w:rPr>
        <w:t>符合原设计</w:t>
      </w:r>
      <w:r>
        <w:rPr>
          <w:rFonts w:hint="eastAsia"/>
          <w:color w:val="auto"/>
          <w:highlight w:val="none"/>
          <w:lang w:val="en-US" w:eastAsia="zh-CN"/>
        </w:rPr>
        <w:t>及相关规范</w:t>
      </w:r>
      <w:r>
        <w:rPr>
          <w:color w:val="auto"/>
          <w:highlight w:val="none"/>
        </w:rPr>
        <w:t>要求</w:t>
      </w:r>
      <w:r>
        <w:rPr>
          <w:rFonts w:hint="eastAsia"/>
          <w:color w:val="auto"/>
          <w:highlight w:val="none"/>
          <w:lang w:val="en-US" w:eastAsia="zh-CN"/>
        </w:rPr>
        <w:t>时</w:t>
      </w:r>
      <w:r>
        <w:rPr>
          <w:color w:val="auto"/>
          <w:highlight w:val="none"/>
        </w:rPr>
        <w:t>，可按原设计取值</w:t>
      </w:r>
      <w:r>
        <w:rPr>
          <w:rFonts w:hint="eastAsia"/>
          <w:color w:val="auto"/>
          <w:highlight w:val="none"/>
          <w:lang w:eastAsia="zh-CN"/>
        </w:rPr>
        <w:t>；</w:t>
      </w:r>
      <w:r>
        <w:rPr>
          <w:rFonts w:hint="eastAsia"/>
          <w:color w:val="auto"/>
          <w:highlight w:val="none"/>
          <w:lang w:val="en-US" w:eastAsia="zh-CN"/>
        </w:rPr>
        <w:t>当检测结果不符合设计及相关规范要求时，如结果偏差对结构构件承载能力有利</w:t>
      </w:r>
      <w:r>
        <w:rPr>
          <w:color w:val="auto"/>
          <w:highlight w:val="none"/>
        </w:rPr>
        <w:t>，可按原设计取值</w:t>
      </w:r>
      <w:r>
        <w:rPr>
          <w:rFonts w:hint="eastAsia"/>
          <w:color w:val="auto"/>
          <w:highlight w:val="none"/>
          <w:lang w:eastAsia="zh-CN"/>
        </w:rPr>
        <w:t>，</w:t>
      </w:r>
      <w:r>
        <w:rPr>
          <w:rFonts w:hint="eastAsia"/>
          <w:color w:val="auto"/>
          <w:highlight w:val="none"/>
          <w:lang w:val="en-US" w:eastAsia="zh-CN"/>
        </w:rPr>
        <w:t>否则按实际检测结果取值，对相应批次中的其他同类构件应按检测的最不利结果取值。</w:t>
      </w:r>
    </w:p>
    <w:p>
      <w:pPr>
        <w:pStyle w:val="37"/>
        <w:bidi w:val="0"/>
        <w:rPr>
          <w:color w:val="auto"/>
        </w:rPr>
      </w:pPr>
      <w:r>
        <w:rPr>
          <w:color w:val="auto"/>
        </w:rPr>
        <w:t>结构和构件的几何参数应考虑锈蚀、腐蚀、腐朽、虫蛀、风化、局部缺陷或缺损以及施工偏差等的影响</w:t>
      </w:r>
      <w:r>
        <w:rPr>
          <w:rFonts w:hint="eastAsia"/>
          <w:color w:val="auto"/>
          <w:lang w:eastAsia="zh-CN"/>
        </w:rPr>
        <w:t>。</w:t>
      </w:r>
    </w:p>
    <w:p>
      <w:pPr>
        <w:pStyle w:val="37"/>
        <w:bidi w:val="0"/>
        <w:rPr>
          <w:color w:val="auto"/>
        </w:rPr>
      </w:pPr>
      <w:r>
        <w:rPr>
          <w:rFonts w:hint="eastAsia"/>
          <w:color w:val="auto"/>
          <w:lang w:val="en-US" w:eastAsia="zh-CN"/>
        </w:rPr>
        <w:t>结构构件变形较大时，应考虑由之产生的附加内力影响。</w:t>
      </w:r>
    </w:p>
    <w:p>
      <w:pPr>
        <w:pStyle w:val="36"/>
        <w:bidi w:val="0"/>
        <w:rPr>
          <w:rFonts w:hint="default"/>
          <w:color w:val="auto"/>
          <w:lang w:val="en-US" w:eastAsia="zh-CN"/>
        </w:rPr>
      </w:pPr>
      <w:r>
        <w:rPr>
          <w:rFonts w:hint="eastAsia"/>
          <w:color w:val="auto"/>
          <w:lang w:val="en-US" w:eastAsia="zh-CN"/>
        </w:rPr>
        <w:t>结构构件复核验算项目应满足微鉴定的需要。</w:t>
      </w:r>
    </w:p>
    <w:p>
      <w:pPr>
        <w:pStyle w:val="26"/>
        <w:bidi w:val="0"/>
        <w:rPr>
          <w:rFonts w:hint="default"/>
          <w:color w:val="auto"/>
          <w:lang w:val="en-US" w:eastAsia="zh-CN"/>
        </w:rPr>
      </w:pPr>
      <w:r>
        <w:rPr>
          <w:rFonts w:hint="eastAsia"/>
          <w:color w:val="auto"/>
          <w:lang w:val="en-US" w:eastAsia="zh-CN"/>
        </w:rPr>
        <w:t>【条文说明】根据《既有建筑鉴定与加固通用规范》GB55021-2021第4.2.2条，当为鉴定原结构、构件在剩余工作年限内的安全性时，应按不低于原建造时的荷载规范和设计规范进行验算，本导则结构构件也按不低于建造时的荷载规范和设计规范进行复核验算。</w:t>
      </w:r>
    </w:p>
    <w:p>
      <w:pPr>
        <w:pStyle w:val="26"/>
        <w:bidi w:val="0"/>
        <w:rPr>
          <w:rFonts w:hint="default"/>
          <w:color w:val="auto"/>
          <w:lang w:val="en-US" w:eastAsia="zh-CN"/>
        </w:rPr>
      </w:pPr>
      <w:r>
        <w:rPr>
          <w:rFonts w:hint="eastAsia"/>
          <w:color w:val="auto"/>
          <w:lang w:val="en-US" w:eastAsia="zh-CN"/>
        </w:rPr>
        <w:t>考虑到验证性检测数量较少，当验证性检测结果不符合设计及相关规范要求时，有理由怀疑其他构件仍存在不符合的情况。考虑微鉴定的目的和特点，本导则要求根据最不利的检测结果对相应批次中的同类构件进行复核，并结合验算结果进行进一步鉴定。</w:t>
      </w:r>
    </w:p>
    <w:p>
      <w:pPr>
        <w:pStyle w:val="26"/>
        <w:bidi w:val="0"/>
        <w:rPr>
          <w:rFonts w:hint="default"/>
          <w:color w:val="auto"/>
          <w:lang w:val="en-US"/>
        </w:rPr>
      </w:pPr>
      <w:r>
        <w:rPr>
          <w:rFonts w:hint="eastAsia"/>
          <w:color w:val="auto"/>
          <w:lang w:val="en-US" w:eastAsia="zh-CN"/>
        </w:rPr>
        <w:t>最不利结果指对结构和构件的承载能力降低最大的结果，材料强度、钢筋直径和数量、截面尺寸等取最小值，钢筋间距、变形等一般取最大值。</w:t>
      </w:r>
    </w:p>
    <w:p>
      <w:pPr>
        <w:pStyle w:val="26"/>
        <w:bidi w:val="0"/>
        <w:rPr>
          <w:rFonts w:hint="eastAsia"/>
          <w:color w:val="auto"/>
          <w:lang w:eastAsia="zh-CN"/>
        </w:rPr>
      </w:pPr>
      <w:r>
        <w:rPr>
          <w:rFonts w:hint="eastAsia"/>
          <w:color w:val="auto"/>
          <w:lang w:val="en-US" w:eastAsia="zh-CN"/>
        </w:rPr>
        <w:t>结构构件</w:t>
      </w:r>
      <w:r>
        <w:rPr>
          <w:color w:val="auto"/>
        </w:rPr>
        <w:t>复核</w:t>
      </w:r>
      <w:r>
        <w:rPr>
          <w:rFonts w:hint="eastAsia"/>
          <w:color w:val="auto"/>
          <w:lang w:val="en-US" w:eastAsia="zh-CN"/>
        </w:rPr>
        <w:t>验算</w:t>
      </w:r>
      <w:r>
        <w:rPr>
          <w:color w:val="auto"/>
        </w:rPr>
        <w:t>时，验算项目应完整</w:t>
      </w:r>
      <w:r>
        <w:rPr>
          <w:rFonts w:hint="eastAsia"/>
          <w:color w:val="auto"/>
          <w:lang w:val="en-US" w:eastAsia="zh-CN"/>
        </w:rPr>
        <w:t>并满足微鉴定的需要</w:t>
      </w:r>
      <w:r>
        <w:rPr>
          <w:color w:val="auto"/>
        </w:rPr>
        <w:t>，</w:t>
      </w:r>
      <w:r>
        <w:rPr>
          <w:rFonts w:hint="eastAsia"/>
          <w:color w:val="auto"/>
          <w:lang w:val="en-US" w:eastAsia="zh-CN"/>
        </w:rPr>
        <w:t>验算项目一般包括抗压</w:t>
      </w:r>
      <w:r>
        <w:rPr>
          <w:color w:val="auto"/>
        </w:rPr>
        <w:t>承载力</w:t>
      </w:r>
      <w:r>
        <w:rPr>
          <w:rFonts w:hint="eastAsia"/>
          <w:color w:val="auto"/>
          <w:lang w:val="en-US" w:eastAsia="zh-CN"/>
        </w:rPr>
        <w:t>、抗拉</w:t>
      </w:r>
      <w:r>
        <w:rPr>
          <w:color w:val="auto"/>
        </w:rPr>
        <w:t>承载力</w:t>
      </w:r>
      <w:r>
        <w:rPr>
          <w:rFonts w:hint="eastAsia"/>
          <w:color w:val="auto"/>
          <w:lang w:val="en-US" w:eastAsia="zh-CN"/>
        </w:rPr>
        <w:t>、抗弯</w:t>
      </w:r>
      <w:r>
        <w:rPr>
          <w:color w:val="auto"/>
        </w:rPr>
        <w:t>承载力</w:t>
      </w:r>
      <w:r>
        <w:rPr>
          <w:rFonts w:hint="eastAsia"/>
          <w:color w:val="auto"/>
          <w:lang w:val="en-US" w:eastAsia="zh-CN"/>
        </w:rPr>
        <w:t>、抗剪</w:t>
      </w:r>
      <w:r>
        <w:rPr>
          <w:color w:val="auto"/>
        </w:rPr>
        <w:t>承载力</w:t>
      </w:r>
      <w:r>
        <w:rPr>
          <w:rFonts w:hint="eastAsia"/>
          <w:color w:val="auto"/>
          <w:lang w:eastAsia="zh-CN"/>
        </w:rPr>
        <w:t>、</w:t>
      </w:r>
      <w:r>
        <w:rPr>
          <w:rFonts w:hint="eastAsia"/>
          <w:color w:val="auto"/>
          <w:lang w:val="en-US" w:eastAsia="zh-CN"/>
        </w:rPr>
        <w:t>稳定承载力、结构或构件变形等，需要时，还应对结构整体稳定性进行验算。根据结构构件类型不同，</w:t>
      </w:r>
      <w:r>
        <w:rPr>
          <w:color w:val="auto"/>
        </w:rPr>
        <w:t>砌体</w:t>
      </w:r>
      <w:r>
        <w:rPr>
          <w:rFonts w:hint="eastAsia"/>
          <w:color w:val="auto"/>
          <w:lang w:val="en-US" w:eastAsia="zh-CN"/>
        </w:rPr>
        <w:t>构件</w:t>
      </w:r>
      <w:r>
        <w:rPr>
          <w:color w:val="auto"/>
        </w:rPr>
        <w:t>一般包括受压承载力、高厚比验算；钢筋混凝土</w:t>
      </w:r>
      <w:r>
        <w:rPr>
          <w:rFonts w:hint="eastAsia"/>
          <w:color w:val="auto"/>
          <w:lang w:val="en-US" w:eastAsia="zh-CN"/>
        </w:rPr>
        <w:t>构件</w:t>
      </w:r>
      <w:r>
        <w:rPr>
          <w:color w:val="auto"/>
        </w:rPr>
        <w:t>一般包括柱</w:t>
      </w:r>
      <w:r>
        <w:rPr>
          <w:rFonts w:hint="eastAsia"/>
          <w:color w:val="auto"/>
          <w:lang w:eastAsia="zh-CN"/>
        </w:rPr>
        <w:t>、</w:t>
      </w:r>
      <w:r>
        <w:rPr>
          <w:color w:val="auto"/>
        </w:rPr>
        <w:t>梁、板</w:t>
      </w:r>
      <w:r>
        <w:rPr>
          <w:rFonts w:hint="eastAsia"/>
          <w:color w:val="auto"/>
          <w:lang w:val="en-US" w:eastAsia="zh-CN"/>
        </w:rPr>
        <w:t>等构件</w:t>
      </w:r>
      <w:r>
        <w:rPr>
          <w:color w:val="auto"/>
        </w:rPr>
        <w:t>承载力验算和整体变形验算</w:t>
      </w:r>
      <w:r>
        <w:rPr>
          <w:rFonts w:hint="eastAsia"/>
          <w:color w:val="auto"/>
          <w:lang w:eastAsia="zh-CN"/>
        </w:rPr>
        <w:t>；</w:t>
      </w:r>
      <w:r>
        <w:rPr>
          <w:rFonts w:hint="eastAsia"/>
          <w:color w:val="auto"/>
          <w:lang w:val="en-US" w:eastAsia="zh-CN"/>
        </w:rPr>
        <w:t>木构件</w:t>
      </w:r>
      <w:r>
        <w:rPr>
          <w:color w:val="auto"/>
        </w:rPr>
        <w:t>一般包括柱</w:t>
      </w:r>
      <w:r>
        <w:rPr>
          <w:rFonts w:hint="eastAsia"/>
          <w:color w:val="auto"/>
          <w:lang w:eastAsia="zh-CN"/>
        </w:rPr>
        <w:t>、</w:t>
      </w:r>
      <w:r>
        <w:rPr>
          <w:color w:val="auto"/>
        </w:rPr>
        <w:t>梁、板</w:t>
      </w:r>
      <w:r>
        <w:rPr>
          <w:rFonts w:hint="eastAsia"/>
          <w:color w:val="auto"/>
          <w:lang w:val="en-US" w:eastAsia="zh-CN"/>
        </w:rPr>
        <w:t>等构件</w:t>
      </w:r>
      <w:r>
        <w:rPr>
          <w:color w:val="auto"/>
        </w:rPr>
        <w:t>承载力</w:t>
      </w:r>
      <w:r>
        <w:rPr>
          <w:rFonts w:hint="eastAsia"/>
          <w:color w:val="auto"/>
          <w:lang w:eastAsia="zh-CN"/>
        </w:rPr>
        <w:t>、</w:t>
      </w:r>
      <w:r>
        <w:rPr>
          <w:rFonts w:hint="eastAsia"/>
          <w:color w:val="auto"/>
          <w:lang w:val="en-US" w:eastAsia="zh-CN"/>
        </w:rPr>
        <w:t>柱长细比</w:t>
      </w:r>
      <w:r>
        <w:rPr>
          <w:color w:val="auto"/>
        </w:rPr>
        <w:t>验算和整体变形验算</w:t>
      </w:r>
      <w:r>
        <w:rPr>
          <w:rFonts w:hint="eastAsia"/>
          <w:color w:val="auto"/>
          <w:lang w:eastAsia="zh-CN"/>
        </w:rPr>
        <w:t>；</w:t>
      </w:r>
      <w:r>
        <w:rPr>
          <w:color w:val="auto"/>
        </w:rPr>
        <w:t>钢</w:t>
      </w:r>
      <w:r>
        <w:rPr>
          <w:rFonts w:hint="eastAsia"/>
          <w:color w:val="auto"/>
          <w:lang w:val="en-US" w:eastAsia="zh-CN"/>
        </w:rPr>
        <w:t>构件</w:t>
      </w:r>
      <w:r>
        <w:rPr>
          <w:color w:val="auto"/>
        </w:rPr>
        <w:t>一般包括构件的</w:t>
      </w:r>
      <w:r>
        <w:rPr>
          <w:rFonts w:hint="eastAsia"/>
          <w:color w:val="auto"/>
          <w:lang w:val="en-US" w:eastAsia="zh-CN"/>
        </w:rPr>
        <w:t>强度、稳定承载力、</w:t>
      </w:r>
      <w:r>
        <w:rPr>
          <w:color w:val="auto"/>
        </w:rPr>
        <w:t>长细比验算等</w:t>
      </w:r>
      <w:r>
        <w:rPr>
          <w:rFonts w:hint="eastAsia"/>
          <w:color w:val="auto"/>
          <w:lang w:eastAsia="zh-CN"/>
        </w:rPr>
        <w:t>。</w:t>
      </w:r>
    </w:p>
    <w:p>
      <w:pPr>
        <w:pStyle w:val="3"/>
        <w:bidi w:val="0"/>
        <w:ind w:left="0" w:leftChars="0" w:firstLine="0" w:firstLineChars="0"/>
        <w:rPr>
          <w:rFonts w:hint="eastAsia"/>
          <w:color w:val="auto"/>
          <w:lang w:val="en-US" w:eastAsia="zh-CN"/>
        </w:rPr>
      </w:pPr>
      <w:bookmarkStart w:id="39" w:name="_Toc7616"/>
      <w:bookmarkStart w:id="40" w:name="_Toc17240"/>
      <w:r>
        <w:rPr>
          <w:rFonts w:hint="eastAsia"/>
          <w:color w:val="auto"/>
          <w:lang w:val="en-US" w:eastAsia="zh-CN"/>
        </w:rPr>
        <w:t>鉴定方法和要求</w:t>
      </w:r>
      <w:bookmarkEnd w:id="39"/>
      <w:bookmarkEnd w:id="40"/>
    </w:p>
    <w:p>
      <w:pPr>
        <w:pStyle w:val="5"/>
        <w:bidi w:val="0"/>
        <w:ind w:left="0" w:leftChars="0" w:firstLine="0" w:firstLineChars="0"/>
        <w:rPr>
          <w:rFonts w:hint="eastAsia"/>
          <w:color w:val="auto"/>
          <w:lang w:val="en-US" w:eastAsia="zh-CN"/>
        </w:rPr>
      </w:pPr>
      <w:r>
        <w:rPr>
          <w:rFonts w:hint="eastAsia"/>
          <w:color w:val="auto"/>
          <w:lang w:val="en-US" w:eastAsia="zh-CN"/>
        </w:rPr>
        <w:t>微鉴定对象可以是整幢建筑或所划分的相对独立的鉴定单元，也可以是其中某一层次、某一局部范围的楼层或构件。</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【条文说明】微鉴定对象宜为整幢建筑或所划分的相对独立的鉴定单元；也可以是其中某一层次、某一局部范围的楼层或构件，此时应考虑与结构整体的相互影响及各楼层、构件的相邻影响。</w:t>
      </w:r>
    </w:p>
    <w:p>
      <w:pPr>
        <w:pStyle w:val="5"/>
        <w:bidi w:val="0"/>
        <w:ind w:left="0" w:leftChars="0" w:firstLine="0" w:firstLineChars="0"/>
        <w:rPr>
          <w:rFonts w:hint="eastAsia"/>
          <w:color w:val="auto"/>
          <w:lang w:val="en-US" w:eastAsia="zh-CN"/>
        </w:rPr>
      </w:pPr>
      <w:r>
        <w:rPr>
          <w:rFonts w:hint="eastAsia"/>
          <w:color w:val="auto"/>
          <w:lang w:val="en-US" w:eastAsia="zh-CN"/>
        </w:rPr>
        <w:t>民用建筑的安全性微鉴定，应根据下列情况区别对待：</w:t>
      </w:r>
    </w:p>
    <w:p>
      <w:pPr>
        <w:pStyle w:val="36"/>
        <w:bidi w:val="0"/>
        <w:rPr>
          <w:rFonts w:hint="eastAsia"/>
          <w:color w:val="auto"/>
          <w:lang w:val="en-US" w:eastAsia="zh-CN"/>
        </w:rPr>
      </w:pPr>
      <w:r>
        <w:rPr>
          <w:rFonts w:hint="eastAsia"/>
          <w:color w:val="auto"/>
          <w:lang w:val="en-US" w:eastAsia="zh-CN"/>
        </w:rPr>
        <w:t>建筑结构类型不同的结构，应根据结构体系特点，确定检查的重点、项目内容和要求；</w:t>
      </w:r>
    </w:p>
    <w:p>
      <w:pPr>
        <w:pStyle w:val="36"/>
        <w:bidi w:val="0"/>
        <w:rPr>
          <w:rFonts w:hint="eastAsia"/>
          <w:color w:val="auto"/>
          <w:lang w:val="en-US" w:eastAsia="zh-CN"/>
        </w:rPr>
      </w:pPr>
      <w:r>
        <w:rPr>
          <w:rFonts w:hint="eastAsia"/>
          <w:color w:val="auto"/>
          <w:lang w:val="en-US" w:eastAsia="zh-CN"/>
        </w:rPr>
        <w:t>对重点部位与一般部位，应按不同的要求进行检测检查；</w:t>
      </w:r>
    </w:p>
    <w:p>
      <w:pPr>
        <w:pStyle w:val="36"/>
        <w:bidi w:val="0"/>
        <w:rPr>
          <w:rFonts w:hint="eastAsia"/>
          <w:color w:val="auto"/>
          <w:lang w:val="en-US" w:eastAsia="zh-CN"/>
        </w:rPr>
      </w:pPr>
      <w:r>
        <w:rPr>
          <w:rFonts w:hint="eastAsia"/>
          <w:color w:val="auto"/>
          <w:lang w:val="en-US" w:eastAsia="zh-CN"/>
        </w:rPr>
        <w:t>对结构安全性有整体影响的构件和仅有局部影响的构件，在安全性鉴定时应分别对待。</w:t>
      </w:r>
    </w:p>
    <w:p>
      <w:pPr>
        <w:pStyle w:val="28"/>
        <w:bidi w:val="0"/>
        <w:rPr>
          <w:rFonts w:hint="eastAsia"/>
          <w:color w:val="auto"/>
          <w:lang w:val="en-US" w:eastAsia="zh-CN"/>
        </w:rPr>
      </w:pPr>
      <w:r>
        <w:rPr>
          <w:rFonts w:hint="eastAsia"/>
          <w:color w:val="auto"/>
          <w:lang w:val="en-US" w:eastAsia="zh-CN"/>
        </w:rPr>
        <w:t>注：重点部位指影响建筑结构整体稳定性的关键部位和易导致局部倒塌伤人的构件、部件，以及破坏可能造成次生灾害的部位。</w:t>
      </w:r>
    </w:p>
    <w:p>
      <w:pPr>
        <w:pStyle w:val="26"/>
        <w:bidi w:val="0"/>
        <w:rPr>
          <w:rFonts w:hint="default" w:ascii="Times New Roman" w:hAnsi="Times New Roman"/>
          <w:color w:val="auto"/>
          <w:lang w:val="en-US" w:eastAsia="zh-CN"/>
        </w:rPr>
      </w:pPr>
      <w:r>
        <w:rPr>
          <w:rFonts w:hint="eastAsia" w:ascii="Times New Roman" w:hAnsi="Times New Roman"/>
          <w:color w:val="auto"/>
          <w:lang w:val="en-US" w:eastAsia="zh-CN"/>
        </w:rPr>
        <w:t>【条文说明】</w:t>
      </w:r>
      <w:r>
        <w:rPr>
          <w:rFonts w:hint="default" w:ascii="Times New Roman" w:hAnsi="Times New Roman"/>
          <w:color w:val="auto"/>
          <w:lang w:val="en-US" w:eastAsia="zh-CN"/>
        </w:rPr>
        <w:t>本条规定了区别对待的鉴定要求</w:t>
      </w:r>
      <w:r>
        <w:rPr>
          <w:rFonts w:hint="eastAsia"/>
          <w:color w:val="auto"/>
          <w:lang w:val="en-US" w:eastAsia="zh-CN"/>
        </w:rPr>
        <w:t>，</w:t>
      </w:r>
      <w:r>
        <w:rPr>
          <w:rFonts w:hint="default" w:ascii="Times New Roman" w:hAnsi="Times New Roman"/>
          <w:color w:val="auto"/>
          <w:lang w:val="en-US" w:eastAsia="zh-CN"/>
        </w:rPr>
        <w:t>强调了下列三个区别对待，使鉴定工作有更强的针对性：</w:t>
      </w:r>
    </w:p>
    <w:p>
      <w:pPr>
        <w:pStyle w:val="26"/>
        <w:bidi w:val="0"/>
        <w:rPr>
          <w:rFonts w:hint="default" w:ascii="Times New Roman" w:hAnsi="Times New Roman"/>
          <w:color w:val="auto"/>
          <w:lang w:val="en-US" w:eastAsia="zh-CN"/>
        </w:rPr>
      </w:pPr>
      <w:r>
        <w:rPr>
          <w:rFonts w:hint="default" w:ascii="Times New Roman" w:hAnsi="Times New Roman"/>
          <w:color w:val="auto"/>
          <w:lang w:val="en-US" w:eastAsia="zh-CN"/>
        </w:rPr>
        <w:t xml:space="preserve">1  </w:t>
      </w:r>
      <w:r>
        <w:rPr>
          <w:rFonts w:hint="eastAsia" w:ascii="Times New Roman" w:hAnsi="Times New Roman"/>
          <w:color w:val="auto"/>
          <w:lang w:val="en-US" w:eastAsia="zh-CN"/>
        </w:rPr>
        <w:t>既有</w:t>
      </w:r>
      <w:r>
        <w:rPr>
          <w:rFonts w:hint="eastAsia"/>
          <w:color w:val="auto"/>
          <w:lang w:val="en-US" w:eastAsia="zh-CN"/>
        </w:rPr>
        <w:t>民用</w:t>
      </w:r>
      <w:r>
        <w:rPr>
          <w:rFonts w:hint="default" w:ascii="Times New Roman" w:hAnsi="Times New Roman"/>
          <w:color w:val="auto"/>
          <w:lang w:val="en-US" w:eastAsia="zh-CN"/>
        </w:rPr>
        <w:t>建筑中要区别结构类型；</w:t>
      </w:r>
    </w:p>
    <w:p>
      <w:pPr>
        <w:pStyle w:val="26"/>
        <w:bidi w:val="0"/>
        <w:rPr>
          <w:rFonts w:hint="default" w:ascii="Times New Roman" w:hAnsi="Times New Roman"/>
          <w:color w:val="auto"/>
          <w:lang w:val="en-US" w:eastAsia="zh-CN"/>
        </w:rPr>
      </w:pPr>
      <w:r>
        <w:rPr>
          <w:rFonts w:hint="default" w:ascii="Times New Roman" w:hAnsi="Times New Roman"/>
          <w:color w:val="auto"/>
          <w:lang w:val="en-US" w:eastAsia="zh-CN"/>
        </w:rPr>
        <w:t>2</w:t>
      </w:r>
      <w:r>
        <w:rPr>
          <w:rFonts w:hint="eastAsia" w:ascii="Times New Roman" w:hAnsi="Times New Roman"/>
          <w:color w:val="auto"/>
          <w:lang w:val="en-US" w:eastAsia="zh-CN"/>
        </w:rPr>
        <w:t xml:space="preserve">  </w:t>
      </w:r>
      <w:r>
        <w:rPr>
          <w:rFonts w:hint="default" w:ascii="Times New Roman" w:hAnsi="Times New Roman"/>
          <w:color w:val="auto"/>
          <w:lang w:val="en-US" w:eastAsia="zh-CN"/>
        </w:rPr>
        <w:t>同一结构中要区别</w:t>
      </w:r>
      <w:r>
        <w:rPr>
          <w:rFonts w:hint="eastAsia" w:ascii="Times New Roman" w:hAnsi="Times New Roman"/>
          <w:color w:val="auto"/>
          <w:lang w:val="en-US" w:eastAsia="zh-CN"/>
        </w:rPr>
        <w:t>检测</w:t>
      </w:r>
      <w:r>
        <w:rPr>
          <w:rFonts w:hint="default" w:ascii="Times New Roman" w:hAnsi="Times New Roman"/>
          <w:color w:val="auto"/>
          <w:lang w:val="en-US" w:eastAsia="zh-CN"/>
        </w:rPr>
        <w:t>检查的重点部位与一般部位；</w:t>
      </w:r>
    </w:p>
    <w:p>
      <w:pPr>
        <w:pStyle w:val="26"/>
        <w:bidi w:val="0"/>
        <w:rPr>
          <w:rFonts w:hint="eastAsia" w:ascii="Times New Roman" w:hAnsi="Times New Roman"/>
          <w:color w:val="auto"/>
          <w:sz w:val="260"/>
          <w:szCs w:val="260"/>
          <w:lang w:val="en-US" w:eastAsia="zh-CN"/>
        </w:rPr>
      </w:pPr>
      <w:r>
        <w:rPr>
          <w:rFonts w:hint="default" w:ascii="Times New Roman" w:hAnsi="Times New Roman"/>
          <w:color w:val="auto"/>
          <w:lang w:val="en-US" w:eastAsia="zh-CN"/>
        </w:rPr>
        <w:t>3</w:t>
      </w:r>
      <w:r>
        <w:rPr>
          <w:rFonts w:hint="eastAsia" w:ascii="Times New Roman" w:hAnsi="Times New Roman"/>
          <w:color w:val="auto"/>
          <w:lang w:val="en-US" w:eastAsia="zh-CN"/>
        </w:rPr>
        <w:t xml:space="preserve">  </w:t>
      </w:r>
      <w:r>
        <w:rPr>
          <w:rFonts w:hint="default" w:ascii="Times New Roman" w:hAnsi="Times New Roman"/>
          <w:color w:val="auto"/>
          <w:lang w:val="en-US" w:eastAsia="zh-CN"/>
        </w:rPr>
        <w:t>综合</w:t>
      </w:r>
      <w:r>
        <w:rPr>
          <w:rFonts w:hint="eastAsia" w:ascii="Times New Roman" w:hAnsi="Times New Roman"/>
          <w:color w:val="auto"/>
          <w:lang w:val="en-US" w:eastAsia="zh-CN"/>
        </w:rPr>
        <w:t>评级</w:t>
      </w:r>
      <w:r>
        <w:rPr>
          <w:rFonts w:hint="eastAsia"/>
          <w:color w:val="auto"/>
          <w:lang w:val="en-US" w:eastAsia="zh-CN"/>
        </w:rPr>
        <w:t>中</w:t>
      </w:r>
      <w:r>
        <w:rPr>
          <w:rFonts w:hint="default" w:ascii="Times New Roman" w:hAnsi="Times New Roman"/>
          <w:color w:val="auto"/>
          <w:lang w:val="en-US" w:eastAsia="zh-CN"/>
        </w:rPr>
        <w:t>要区别各构件(部位)对结构性能的整体影响与局部影响。</w:t>
      </w:r>
      <w:r>
        <w:rPr>
          <w:rFonts w:hint="eastAsia" w:ascii="Times New Roman" w:hAnsi="Times New Roman"/>
          <w:color w:val="auto"/>
          <w:lang w:val="en-US" w:eastAsia="zh-CN"/>
        </w:rPr>
        <w:t>在微鉴定中，将构件分成具有整体影响和仅有局部影响两大类，予以区别对待。前者以组成主体结构的主要承重构件及其连接为主，如竖向承重构件、主梁等，破坏时有可能引起连锁反应，甚至引起坍塌房屋；后者指次要构件、非承重构件、附属构件，如次梁、构造柱、圈梁等，不符合承载力要求时只影响构件本身或结构局部。</w:t>
      </w:r>
    </w:p>
    <w:p>
      <w:pPr>
        <w:pStyle w:val="5"/>
        <w:bidi w:val="0"/>
        <w:rPr>
          <w:rFonts w:hint="eastAsia"/>
          <w:color w:val="auto"/>
          <w:lang w:val="en-US" w:eastAsia="zh-CN"/>
        </w:rPr>
      </w:pPr>
      <w:r>
        <w:rPr>
          <w:rFonts w:hint="eastAsia"/>
          <w:color w:val="auto"/>
          <w:lang w:val="en-US" w:eastAsia="zh-CN"/>
        </w:rPr>
        <w:t>民用建筑安全性微鉴定包括地基基础鉴定、上部结构鉴定和围护构件鉴定。其中，建筑整体根据地基基础及上部结构鉴定结果进行评级，围护构件鉴定仅进行构件安全性鉴定，评级结果在鉴定报告中列出。</w:t>
      </w:r>
    </w:p>
    <w:p>
      <w:pPr>
        <w:pStyle w:val="26"/>
        <w:bidi w:val="0"/>
        <w:rPr>
          <w:rFonts w:hint="eastAsia"/>
          <w:color w:val="auto"/>
          <w:lang w:val="en-US" w:eastAsia="zh-CN"/>
        </w:rPr>
      </w:pPr>
      <w:r>
        <w:rPr>
          <w:rFonts w:hint="eastAsia"/>
          <w:color w:val="auto"/>
          <w:lang w:val="en-US" w:eastAsia="zh-CN"/>
        </w:rPr>
        <w:t>【条文说明】本导则中围护构件指仅起围护作用的自承重构件，基本不参与结构体系工作，不属于结构构件，如填充墙、轻质隔墙等。《民用建筑可靠性鉴定标准》GB50292-2015中采用“围护系统承重部分”，其概念较为模糊，不易掌握，如砌体结构房屋围护墙体往往既是围护构件，又是承重构件，结构安全性鉴定时，宜归属结构构件进行鉴定。</w:t>
      </w:r>
    </w:p>
    <w:p>
      <w:pPr>
        <w:pStyle w:val="26"/>
        <w:bidi w:val="0"/>
        <w:rPr>
          <w:rFonts w:hint="eastAsia"/>
          <w:color w:val="auto"/>
          <w:lang w:val="en-US" w:eastAsia="zh-CN"/>
        </w:rPr>
      </w:pPr>
      <w:r>
        <w:rPr>
          <w:rFonts w:hint="eastAsia"/>
          <w:color w:val="auto"/>
          <w:lang w:val="en-US" w:eastAsia="zh-CN"/>
        </w:rPr>
        <w:t>围护构件对结构整体安全性影响小，鉴定时仅需考虑构件自身安全性和构件破坏可能造成的次生危害。围护构件自身安全性体现在两个方面，一是围护构件承载力问题，二是与结构构件的连接及构造的可靠性问题。本导则将围护构件单独按构件评级，评级结果在鉴定报告中列出，这样概念比较清楚，同时也简化了鉴定工作。</w:t>
      </w:r>
    </w:p>
    <w:p>
      <w:pPr>
        <w:pStyle w:val="5"/>
        <w:bidi w:val="0"/>
        <w:ind w:left="0" w:leftChars="0" w:firstLine="0" w:firstLineChars="0"/>
        <w:rPr>
          <w:color w:val="auto"/>
        </w:rPr>
      </w:pPr>
      <w:r>
        <w:rPr>
          <w:rFonts w:hint="eastAsia"/>
          <w:color w:val="auto"/>
          <w:lang w:val="en-US" w:eastAsia="zh-CN"/>
        </w:rPr>
        <w:t>民用建筑上部结构鉴定应进行两级鉴定，第一级鉴定为结构体系鉴定，第二级鉴定为结构构件系统鉴定；第一级鉴定结果为C</w:t>
      </w:r>
      <w:r>
        <w:rPr>
          <w:rFonts w:hint="eastAsia"/>
          <w:color w:val="auto"/>
          <w:vertAlign w:val="subscript"/>
          <w:lang w:val="en-US" w:eastAsia="zh-CN"/>
        </w:rPr>
        <w:t>u</w:t>
      </w:r>
      <w:r>
        <w:rPr>
          <w:rFonts w:hint="eastAsia"/>
          <w:color w:val="auto"/>
          <w:lang w:val="en-US" w:eastAsia="zh-CN"/>
        </w:rPr>
        <w:t>级时，可不再进行第二级鉴定。</w:t>
      </w:r>
    </w:p>
    <w:p>
      <w:pPr>
        <w:bidi w:val="0"/>
        <w:rPr>
          <w:rFonts w:hint="eastAsia"/>
          <w:color w:val="auto"/>
          <w:lang w:val="en-US" w:eastAsia="zh-CN"/>
        </w:rPr>
      </w:pPr>
      <w:r>
        <w:rPr>
          <w:rFonts w:hint="eastAsia"/>
          <w:color w:val="auto"/>
          <w:lang w:val="en-US" w:eastAsia="zh-CN"/>
        </w:rPr>
        <w:t>结构体系鉴定主要根据建筑结构布置、整体性连接构造及倾斜变形检查结果进行评级。结构构件系统鉴定分三个层次，第一层次为构件安全性鉴定，主要根据构件变形、裂缝或其他损伤等检查结果进行评级，必要时，还应结合构件详细检测检查结果及承载力验算结果进行综合评级；第二层次为楼层安全性鉴定，主要根据构件安全性评级结果进行评级；第三层次为结构构件系统鉴定，主要根据楼层安全性评级结果进行评级。</w:t>
      </w:r>
    </w:p>
    <w:p>
      <w:pPr>
        <w:pStyle w:val="26"/>
        <w:bidi w:val="0"/>
        <w:rPr>
          <w:rFonts w:hint="eastAsia"/>
          <w:color w:val="auto"/>
          <w:lang w:val="en-US" w:eastAsia="zh-CN"/>
        </w:rPr>
      </w:pPr>
      <w:r>
        <w:rPr>
          <w:rFonts w:hint="eastAsia"/>
          <w:color w:val="auto"/>
          <w:lang w:val="en-US" w:eastAsia="zh-CN"/>
        </w:rPr>
        <w:t>【条文说明】上部结构鉴定分为两级，第一级为结构体系鉴定，包含结构整体牢固性及稳定性等，主要是对结构概念设计内容的检查、核查，检查结构布置、传力路线、构造连接等是否合理可靠，这是结构安全可靠的前提。第二级是结构构件系统鉴定，以结构构件为基本单元，逐层次进行鉴定，主要从构件角度检查结构的安全性。</w:t>
      </w:r>
    </w:p>
    <w:p>
      <w:pPr>
        <w:pStyle w:val="26"/>
        <w:bidi w:val="0"/>
        <w:rPr>
          <w:rFonts w:hint="eastAsia"/>
          <w:color w:val="auto"/>
          <w:lang w:val="en-US" w:eastAsia="zh-CN"/>
        </w:rPr>
      </w:pPr>
      <w:r>
        <w:rPr>
          <w:rFonts w:hint="eastAsia"/>
          <w:color w:val="auto"/>
          <w:lang w:val="en-US" w:eastAsia="zh-CN"/>
        </w:rPr>
        <w:t>上部结构鉴定首先要对结构体系进行鉴定，这是对我国各地房屋倒塌事件血的教训的总结。通过构件的一般检测和鉴定，虽然能够查明结构每一构件是否安全，但这并不意味着可以据此判断结构的整体承载是否安全，因为就结构整体而言，其安全性在很大程度上取决于原结构方案及其布置是否合理，构件之间的连接、拉结和锚固是否系统而可靠，其原有的构造措施是否得当及有效等，这些内容作为结构系统检查的重点，所起到的作用就是使结构具有足够的延性和冗余度，以防止因偶然作用而导致的局部破坏发展成为整个结构的倒塌，甚至连续倒塌。因此，本导则要求专业技术人员在上部结构安全性鉴定时，首先应对结构体系进行鉴定。第一级鉴定结果为C</w:t>
      </w:r>
      <w:r>
        <w:rPr>
          <w:rFonts w:hint="eastAsia"/>
          <w:color w:val="auto"/>
          <w:vertAlign w:val="subscript"/>
          <w:lang w:val="en-US" w:eastAsia="zh-CN"/>
        </w:rPr>
        <w:t>u</w:t>
      </w:r>
      <w:r>
        <w:rPr>
          <w:rFonts w:hint="eastAsia"/>
          <w:color w:val="auto"/>
          <w:lang w:val="en-US" w:eastAsia="zh-CN"/>
        </w:rPr>
        <w:t>级时，可直接评定上部结构的安全等级为C</w:t>
      </w:r>
      <w:r>
        <w:rPr>
          <w:rFonts w:hint="eastAsia"/>
          <w:color w:val="auto"/>
          <w:vertAlign w:val="subscript"/>
          <w:lang w:val="en-US" w:eastAsia="zh-CN"/>
        </w:rPr>
        <w:t>u</w:t>
      </w:r>
      <w:r>
        <w:rPr>
          <w:rFonts w:hint="eastAsia"/>
          <w:color w:val="auto"/>
          <w:lang w:val="en-US" w:eastAsia="zh-CN"/>
        </w:rPr>
        <w:t>级，不再进行第二级鉴定，也进一步显示出了结构体系的重要程度。考虑到第二级鉴定能够进一步查明房屋的现状，建议有条件时仍进行第二级鉴定。</w:t>
      </w:r>
    </w:p>
    <w:p>
      <w:pPr>
        <w:pStyle w:val="26"/>
        <w:bidi w:val="0"/>
        <w:rPr>
          <w:rFonts w:hint="eastAsia"/>
          <w:color w:val="auto"/>
          <w:lang w:val="en-US" w:eastAsia="zh-CN"/>
        </w:rPr>
      </w:pPr>
      <w:r>
        <w:rPr>
          <w:rFonts w:hint="eastAsia"/>
          <w:color w:val="auto"/>
          <w:lang w:val="en-US" w:eastAsia="zh-CN"/>
        </w:rPr>
        <w:t>本导则中，大部分结构构件可通过检查结果鉴定评级，少部分不能确定的构件要通过验算最终确认，这是筛选法的具体应用，可达到减少工作量，提高效率的要求，同时避免了大量的现场检测工作。</w:t>
      </w:r>
    </w:p>
    <w:p>
      <w:pPr>
        <w:pStyle w:val="5"/>
        <w:bidi w:val="0"/>
        <w:ind w:left="0" w:leftChars="0" w:firstLine="0" w:firstLineChars="0"/>
        <w:rPr>
          <w:rFonts w:hint="eastAsia"/>
          <w:color w:val="auto"/>
          <w:lang w:val="en-US" w:eastAsia="zh-CN"/>
        </w:rPr>
      </w:pPr>
      <w:bookmarkStart w:id="41" w:name="_Ref10814"/>
      <w:r>
        <w:rPr>
          <w:rFonts w:hint="eastAsia"/>
          <w:color w:val="auto"/>
          <w:lang w:val="en-US" w:eastAsia="zh-CN"/>
        </w:rPr>
        <w:t>民用建筑安全性微鉴定的鉴定项目、层次划分、步骤、评级方法，应符合下列规定：</w:t>
      </w:r>
      <w:bookmarkEnd w:id="41"/>
    </w:p>
    <w:p>
      <w:pPr>
        <w:pStyle w:val="36"/>
        <w:bidi w:val="0"/>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地基基础评级</w:t>
      </w:r>
      <w:r>
        <w:rPr>
          <w:rFonts w:hint="eastAsia" w:ascii="宋体" w:hAnsi="宋体" w:eastAsia="宋体" w:cs="宋体"/>
          <w:color w:val="auto"/>
          <w:kern w:val="0"/>
          <w:sz w:val="24"/>
          <w:szCs w:val="24"/>
          <w:lang w:val="en-US" w:eastAsia="zh-CN" w:bidi="ar"/>
        </w:rPr>
        <w:t>应按表</w:t>
      </w: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color w:val="auto"/>
          <w:kern w:val="0"/>
          <w:sz w:val="24"/>
          <w:szCs w:val="24"/>
          <w:lang w:val="en-US" w:eastAsia="zh-CN" w:bidi="ar"/>
        </w:rPr>
        <w:instrText xml:space="preserve"> REF _Ref10814 \n \h </w:instrText>
      </w:r>
      <w:r>
        <w:rPr>
          <w:rFonts w:hint="eastAsia" w:ascii="宋体" w:hAnsi="宋体" w:eastAsia="宋体" w:cs="宋体"/>
          <w:color w:val="auto"/>
          <w:kern w:val="0"/>
          <w:sz w:val="24"/>
          <w:szCs w:val="24"/>
          <w:lang w:val="en-US" w:eastAsia="zh-CN" w:bidi="ar"/>
        </w:rPr>
        <w:fldChar w:fldCharType="separate"/>
      </w:r>
      <w:r>
        <w:rPr>
          <w:rFonts w:hint="eastAsia" w:ascii="宋体" w:hAnsi="宋体" w:eastAsia="宋体" w:cs="宋体"/>
          <w:color w:val="auto"/>
          <w:kern w:val="0"/>
          <w:sz w:val="24"/>
          <w:szCs w:val="24"/>
          <w:lang w:val="en-US" w:eastAsia="zh-CN" w:bidi="ar"/>
        </w:rPr>
        <w:t>6.6.5</w:t>
      </w:r>
      <w:r>
        <w:rPr>
          <w:rFonts w:hint="eastAsia" w:ascii="宋体" w:hAnsi="宋体" w:eastAsia="宋体" w:cs="宋体"/>
          <w:color w:val="auto"/>
          <w:kern w:val="0"/>
          <w:sz w:val="24"/>
          <w:szCs w:val="24"/>
          <w:lang w:val="en-US" w:eastAsia="zh-CN" w:bidi="ar"/>
        </w:rPr>
        <w:fldChar w:fldCharType="end"/>
      </w:r>
      <w:r>
        <w:rPr>
          <w:rFonts w:hint="eastAsia" w:ascii="宋体" w:hAnsi="宋体" w:cs="宋体"/>
          <w:color w:val="auto"/>
          <w:kern w:val="0"/>
          <w:sz w:val="24"/>
          <w:szCs w:val="24"/>
          <w:lang w:val="en-US" w:eastAsia="zh-CN" w:bidi="ar"/>
        </w:rPr>
        <w:t>-1</w:t>
      </w:r>
      <w:r>
        <w:rPr>
          <w:rFonts w:hint="eastAsia" w:ascii="宋体" w:hAnsi="宋体" w:eastAsia="宋体" w:cs="宋体"/>
          <w:color w:val="auto"/>
          <w:kern w:val="0"/>
          <w:sz w:val="24"/>
          <w:szCs w:val="24"/>
          <w:lang w:val="en-US" w:eastAsia="zh-CN" w:bidi="ar"/>
        </w:rPr>
        <w:t>的规定</w:t>
      </w:r>
      <w:r>
        <w:rPr>
          <w:rFonts w:hint="eastAsia" w:ascii="宋体" w:hAnsi="宋体" w:cs="宋体"/>
          <w:color w:val="auto"/>
          <w:kern w:val="0"/>
          <w:sz w:val="24"/>
          <w:szCs w:val="24"/>
          <w:lang w:val="en-US" w:eastAsia="zh-CN" w:bidi="ar"/>
        </w:rPr>
        <w:t>进行；</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_Ref10814 \n \h </w:instrText>
      </w:r>
      <w:r>
        <w:rPr>
          <w:rFonts w:hint="eastAsia"/>
          <w:color w:val="auto"/>
          <w:lang w:val="en-US" w:eastAsia="zh-CN"/>
        </w:rPr>
        <w:fldChar w:fldCharType="separate"/>
      </w:r>
      <w:r>
        <w:rPr>
          <w:rFonts w:hint="eastAsia"/>
          <w:color w:val="auto"/>
          <w:lang w:val="en-US" w:eastAsia="zh-CN"/>
        </w:rPr>
        <w:t>6.6.5</w:t>
      </w:r>
      <w:r>
        <w:rPr>
          <w:rFonts w:hint="eastAsia"/>
          <w:color w:val="auto"/>
          <w:lang w:val="en-US" w:eastAsia="zh-CN"/>
        </w:rPr>
        <w:fldChar w:fldCharType="end"/>
      </w:r>
      <w:r>
        <w:rPr>
          <w:rFonts w:hint="eastAsia"/>
          <w:color w:val="auto"/>
          <w:lang w:val="en-US" w:eastAsia="zh-CN"/>
        </w:rPr>
        <w:t>-1地基基础鉴定评级步骤和方法</w:t>
      </w:r>
    </w:p>
    <w:tbl>
      <w:tblPr>
        <w:tblStyle w:val="27"/>
        <w:tblW w:w="501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0"/>
        <w:gridCol w:w="3872"/>
        <w:gridCol w:w="26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98" w:type="pct"/>
            <w:vAlign w:val="center"/>
          </w:tcPr>
          <w:p>
            <w:pPr>
              <w:pStyle w:val="24"/>
              <w:bidi w:val="0"/>
              <w:jc w:val="center"/>
              <w:rPr>
                <w:rFonts w:hint="eastAsia"/>
                <w:color w:val="auto"/>
              </w:rPr>
            </w:pPr>
            <w:r>
              <w:rPr>
                <w:rFonts w:hint="eastAsia"/>
                <w:color w:val="auto"/>
              </w:rPr>
              <w:t>等级</w:t>
            </w:r>
          </w:p>
        </w:tc>
        <w:tc>
          <w:tcPr>
            <w:tcW w:w="3901" w:type="pct"/>
            <w:gridSpan w:val="2"/>
            <w:vAlign w:val="center"/>
          </w:tcPr>
          <w:p>
            <w:pPr>
              <w:pStyle w:val="24"/>
              <w:bidi w:val="0"/>
              <w:jc w:val="center"/>
              <w:rPr>
                <w:rFonts w:hint="default"/>
                <w:color w:val="auto"/>
                <w:lang w:val="en-US"/>
              </w:rPr>
            </w:pPr>
            <w:r>
              <w:rPr>
                <w:rFonts w:hint="eastAsia"/>
                <w:color w:val="auto"/>
                <w:lang w:val="en-US" w:eastAsia="zh-CN"/>
              </w:rPr>
              <w:t>A</w:t>
            </w:r>
            <w:r>
              <w:rPr>
                <w:rFonts w:hint="eastAsia"/>
                <w:color w:val="auto"/>
                <w:vertAlign w:val="subscript"/>
                <w:lang w:val="en-US" w:eastAsia="zh-CN"/>
              </w:rPr>
              <w:t>u</w:t>
            </w:r>
            <w:r>
              <w:rPr>
                <w:rFonts w:hint="eastAsia"/>
                <w:color w:val="auto"/>
                <w:highlight w:val="none"/>
              </w:rPr>
              <w:t>、</w:t>
            </w:r>
            <w:r>
              <w:rPr>
                <w:rFonts w:hint="eastAsia"/>
                <w:color w:val="auto"/>
                <w:lang w:val="en-US" w:eastAsia="zh-CN"/>
              </w:rPr>
              <w:t>B</w:t>
            </w:r>
            <w:r>
              <w:rPr>
                <w:rFonts w:hint="eastAsia"/>
                <w:color w:val="auto"/>
                <w:vertAlign w:val="subscript"/>
                <w:lang w:val="en-US" w:eastAsia="zh-CN"/>
              </w:rPr>
              <w:t>u</w:t>
            </w:r>
            <w:r>
              <w:rPr>
                <w:rFonts w:hint="eastAsia"/>
                <w:color w:val="auto"/>
                <w:highlight w:val="none"/>
              </w:rPr>
              <w:t>、</w:t>
            </w:r>
            <w:r>
              <w:rPr>
                <w:rFonts w:hint="eastAsia"/>
                <w:color w:val="auto"/>
                <w:lang w:val="en-US" w:eastAsia="zh-CN"/>
              </w:rPr>
              <w:t>C</w:t>
            </w:r>
            <w:r>
              <w:rPr>
                <w:rFonts w:hint="eastAsia"/>
                <w:color w:val="auto"/>
                <w:vertAlign w:val="subscript"/>
                <w:lang w:val="en-US" w:eastAsia="zh-CN"/>
              </w:rPr>
              <w:t>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98" w:type="pct"/>
            <w:vMerge w:val="restart"/>
            <w:vAlign w:val="center"/>
          </w:tcPr>
          <w:p>
            <w:pPr>
              <w:pStyle w:val="24"/>
              <w:bidi w:val="0"/>
              <w:jc w:val="center"/>
              <w:rPr>
                <w:rFonts w:hint="default" w:eastAsia="宋体"/>
                <w:color w:val="auto"/>
                <w:lang w:val="en-US" w:eastAsia="zh-CN"/>
              </w:rPr>
            </w:pPr>
            <w:r>
              <w:rPr>
                <w:rFonts w:hint="eastAsia"/>
                <w:color w:val="auto"/>
                <w:lang w:val="en-US" w:eastAsia="zh-CN"/>
              </w:rPr>
              <w:t>鉴定项目</w:t>
            </w:r>
          </w:p>
        </w:tc>
        <w:tc>
          <w:tcPr>
            <w:tcW w:w="2323" w:type="pct"/>
            <w:tcBorders>
              <w:bottom w:val="single" w:color="auto" w:sz="4" w:space="0"/>
              <w:right w:val="single" w:color="auto" w:sz="4" w:space="0"/>
            </w:tcBorders>
            <w:vAlign w:val="center"/>
          </w:tcPr>
          <w:p>
            <w:pPr>
              <w:pStyle w:val="24"/>
              <w:bidi w:val="0"/>
              <w:jc w:val="center"/>
              <w:rPr>
                <w:rFonts w:hint="eastAsia"/>
                <w:color w:val="auto"/>
              </w:rPr>
            </w:pPr>
            <w:r>
              <w:rPr>
                <w:rFonts w:hint="eastAsia"/>
                <w:color w:val="auto"/>
              </w:rPr>
              <w:t>地基变形</w:t>
            </w:r>
            <w:r>
              <w:rPr>
                <w:rFonts w:hint="eastAsia"/>
                <w:color w:val="auto"/>
                <w:lang w:val="en-US" w:eastAsia="zh-CN"/>
              </w:rPr>
              <w:t>或地基承载力</w:t>
            </w:r>
          </w:p>
        </w:tc>
        <w:tc>
          <w:tcPr>
            <w:tcW w:w="1577" w:type="pct"/>
            <w:vMerge w:val="restart"/>
            <w:tcBorders>
              <w:left w:val="single" w:color="auto" w:sz="4" w:space="0"/>
            </w:tcBorders>
            <w:vAlign w:val="center"/>
          </w:tcPr>
          <w:p>
            <w:pPr>
              <w:pStyle w:val="24"/>
              <w:bidi w:val="0"/>
              <w:jc w:val="left"/>
              <w:rPr>
                <w:rFonts w:hint="eastAsia" w:eastAsia="宋体"/>
                <w:color w:val="auto"/>
                <w:lang w:val="en-US" w:eastAsia="zh-CN"/>
              </w:rPr>
            </w:pPr>
            <w:r>
              <w:rPr>
                <w:rFonts w:hint="eastAsia"/>
                <w:color w:val="auto"/>
                <w:lang w:val="en-US" w:eastAsia="zh-CN"/>
              </w:rPr>
              <w:t>地基基础的评级取各鉴定项目评级等级中最低等级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098" w:type="pct"/>
            <w:vMerge w:val="continue"/>
            <w:vAlign w:val="center"/>
          </w:tcPr>
          <w:p>
            <w:pPr>
              <w:pStyle w:val="24"/>
              <w:bidi w:val="0"/>
              <w:jc w:val="center"/>
              <w:rPr>
                <w:rFonts w:hint="eastAsia"/>
                <w:color w:val="auto"/>
              </w:rPr>
            </w:pPr>
          </w:p>
        </w:tc>
        <w:tc>
          <w:tcPr>
            <w:tcW w:w="2323" w:type="pct"/>
            <w:tcBorders>
              <w:top w:val="single" w:color="auto" w:sz="4" w:space="0"/>
              <w:bottom w:val="single" w:color="auto" w:sz="4" w:space="0"/>
              <w:right w:val="single" w:color="auto" w:sz="4" w:space="0"/>
            </w:tcBorders>
            <w:vAlign w:val="center"/>
          </w:tcPr>
          <w:p>
            <w:pPr>
              <w:pStyle w:val="24"/>
              <w:bidi w:val="0"/>
              <w:jc w:val="center"/>
              <w:rPr>
                <w:rFonts w:hint="eastAsia"/>
                <w:color w:val="auto"/>
              </w:rPr>
            </w:pPr>
            <w:r>
              <w:rPr>
                <w:rFonts w:hint="eastAsia"/>
                <w:color w:val="auto"/>
              </w:rPr>
              <w:t>边坡场地稳定性</w:t>
            </w:r>
          </w:p>
        </w:tc>
        <w:tc>
          <w:tcPr>
            <w:tcW w:w="1577" w:type="pct"/>
            <w:vMerge w:val="continue"/>
            <w:tcBorders>
              <w:left w:val="single" w:color="auto" w:sz="4" w:space="0"/>
            </w:tcBorders>
            <w:vAlign w:val="center"/>
          </w:tcPr>
          <w:p>
            <w:pPr>
              <w:pStyle w:val="24"/>
              <w:bidi w:val="0"/>
              <w:jc w:val="center"/>
              <w:rPr>
                <w:rFonts w:hint="eastAsia"/>
                <w:color w:val="auto"/>
                <w:lang w:val="en-US" w:eastAsia="zh-CN"/>
              </w:rPr>
            </w:pPr>
          </w:p>
        </w:tc>
      </w:tr>
    </w:tbl>
    <w:p>
      <w:pPr>
        <w:pStyle w:val="36"/>
        <w:bidi w:val="0"/>
        <w:rPr>
          <w:rFonts w:hint="default" w:ascii="黑体" w:hAnsi="黑体" w:eastAsia="黑体" w:cs="黑体"/>
          <w:color w:val="auto"/>
          <w:sz w:val="21"/>
          <w:szCs w:val="21"/>
          <w:lang w:val="en-US" w:eastAsia="zh-CN"/>
        </w:rPr>
      </w:pPr>
      <w:r>
        <w:rPr>
          <w:rFonts w:hint="eastAsia" w:ascii="宋体" w:hAnsi="宋体" w:cs="宋体"/>
          <w:color w:val="auto"/>
          <w:kern w:val="0"/>
          <w:sz w:val="24"/>
          <w:szCs w:val="24"/>
          <w:lang w:val="en-US" w:eastAsia="zh-CN" w:bidi="ar"/>
        </w:rPr>
        <w:t>上部结构</w:t>
      </w:r>
      <w:r>
        <w:rPr>
          <w:rFonts w:hint="eastAsia" w:ascii="宋体" w:hAnsi="宋体" w:eastAsia="宋体" w:cs="宋体"/>
          <w:color w:val="auto"/>
          <w:kern w:val="0"/>
          <w:sz w:val="24"/>
          <w:szCs w:val="24"/>
          <w:lang w:val="en-US" w:eastAsia="zh-CN" w:bidi="ar"/>
        </w:rPr>
        <w:t>鉴定评级应按表</w:t>
      </w: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color w:val="auto"/>
          <w:kern w:val="0"/>
          <w:sz w:val="24"/>
          <w:szCs w:val="24"/>
          <w:lang w:val="en-US" w:eastAsia="zh-CN" w:bidi="ar"/>
        </w:rPr>
        <w:instrText xml:space="preserve"> REF _Ref10814 \n \h </w:instrText>
      </w:r>
      <w:r>
        <w:rPr>
          <w:rFonts w:hint="eastAsia" w:ascii="宋体" w:hAnsi="宋体" w:eastAsia="宋体" w:cs="宋体"/>
          <w:color w:val="auto"/>
          <w:kern w:val="0"/>
          <w:sz w:val="24"/>
          <w:szCs w:val="24"/>
          <w:lang w:val="en-US" w:eastAsia="zh-CN" w:bidi="ar"/>
        </w:rPr>
        <w:fldChar w:fldCharType="separate"/>
      </w:r>
      <w:r>
        <w:rPr>
          <w:rFonts w:hint="eastAsia" w:ascii="宋体" w:hAnsi="宋体" w:eastAsia="宋体" w:cs="宋体"/>
          <w:color w:val="auto"/>
          <w:kern w:val="0"/>
          <w:sz w:val="24"/>
          <w:szCs w:val="24"/>
          <w:lang w:val="en-US" w:eastAsia="zh-CN" w:bidi="ar"/>
        </w:rPr>
        <w:t>6.6.5</w:t>
      </w:r>
      <w:r>
        <w:rPr>
          <w:rFonts w:hint="eastAsia" w:ascii="宋体" w:hAnsi="宋体" w:eastAsia="宋体" w:cs="宋体"/>
          <w:color w:val="auto"/>
          <w:kern w:val="0"/>
          <w:sz w:val="24"/>
          <w:szCs w:val="24"/>
          <w:lang w:val="en-US" w:eastAsia="zh-CN" w:bidi="ar"/>
        </w:rPr>
        <w:fldChar w:fldCharType="end"/>
      </w:r>
      <w:r>
        <w:rPr>
          <w:rFonts w:hint="eastAsia" w:ascii="宋体" w:hAnsi="宋体" w:cs="宋体"/>
          <w:color w:val="auto"/>
          <w:kern w:val="0"/>
          <w:sz w:val="24"/>
          <w:szCs w:val="24"/>
          <w:lang w:val="en-US" w:eastAsia="zh-CN" w:bidi="ar"/>
        </w:rPr>
        <w:t>-2</w:t>
      </w:r>
      <w:r>
        <w:rPr>
          <w:rFonts w:hint="eastAsia" w:ascii="宋体" w:hAnsi="宋体" w:eastAsia="宋体" w:cs="宋体"/>
          <w:color w:val="auto"/>
          <w:kern w:val="0"/>
          <w:sz w:val="24"/>
          <w:szCs w:val="24"/>
          <w:lang w:val="en-US" w:eastAsia="zh-CN" w:bidi="ar"/>
        </w:rPr>
        <w:t>规定</w:t>
      </w:r>
      <w:r>
        <w:rPr>
          <w:rFonts w:hint="eastAsia" w:ascii="宋体" w:hAnsi="宋体" w:cs="宋体"/>
          <w:color w:val="auto"/>
          <w:kern w:val="0"/>
          <w:sz w:val="24"/>
          <w:szCs w:val="24"/>
          <w:lang w:val="en-US" w:eastAsia="zh-CN" w:bidi="ar"/>
        </w:rPr>
        <w:t>的两级鉴定流程进行；</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_Ref10814 \n \h </w:instrText>
      </w:r>
      <w:r>
        <w:rPr>
          <w:rFonts w:hint="eastAsia"/>
          <w:color w:val="auto"/>
          <w:lang w:val="en-US" w:eastAsia="zh-CN"/>
        </w:rPr>
        <w:fldChar w:fldCharType="separate"/>
      </w:r>
      <w:r>
        <w:rPr>
          <w:rFonts w:hint="eastAsia"/>
          <w:color w:val="auto"/>
          <w:lang w:val="en-US" w:eastAsia="zh-CN"/>
        </w:rPr>
        <w:t>6.6.5</w:t>
      </w:r>
      <w:r>
        <w:rPr>
          <w:rFonts w:hint="eastAsia"/>
          <w:color w:val="auto"/>
          <w:lang w:val="en-US" w:eastAsia="zh-CN"/>
        </w:rPr>
        <w:fldChar w:fldCharType="end"/>
      </w:r>
      <w:r>
        <w:rPr>
          <w:rFonts w:hint="eastAsia"/>
          <w:color w:val="auto"/>
          <w:lang w:val="en-US" w:eastAsia="zh-CN"/>
        </w:rPr>
        <w:t>-2 上部结构鉴定评级步骤和方法</w:t>
      </w:r>
    </w:p>
    <w:tbl>
      <w:tblPr>
        <w:tblStyle w:val="27"/>
        <w:tblW w:w="500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1"/>
        <w:gridCol w:w="3868"/>
        <w:gridCol w:w="2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100" w:type="pct"/>
            <w:vAlign w:val="center"/>
          </w:tcPr>
          <w:p>
            <w:pPr>
              <w:pStyle w:val="24"/>
              <w:bidi w:val="0"/>
              <w:jc w:val="center"/>
              <w:rPr>
                <w:rFonts w:hint="eastAsia"/>
                <w:color w:val="auto"/>
              </w:rPr>
            </w:pPr>
            <w:r>
              <w:rPr>
                <w:rFonts w:hint="eastAsia"/>
                <w:color w:val="auto"/>
              </w:rPr>
              <w:t>等级</w:t>
            </w:r>
          </w:p>
        </w:tc>
        <w:tc>
          <w:tcPr>
            <w:tcW w:w="3899" w:type="pct"/>
            <w:gridSpan w:val="2"/>
            <w:vAlign w:val="center"/>
          </w:tcPr>
          <w:p>
            <w:pPr>
              <w:pStyle w:val="24"/>
              <w:bidi w:val="0"/>
              <w:jc w:val="center"/>
              <w:rPr>
                <w:rFonts w:hint="eastAsia"/>
                <w:color w:val="auto"/>
              </w:rPr>
            </w:pPr>
            <w:r>
              <w:rPr>
                <w:rFonts w:hint="eastAsia"/>
                <w:color w:val="auto"/>
                <w:lang w:val="en-US" w:eastAsia="zh-CN"/>
              </w:rPr>
              <w:t>A</w:t>
            </w:r>
            <w:r>
              <w:rPr>
                <w:rFonts w:hint="eastAsia"/>
                <w:color w:val="auto"/>
                <w:vertAlign w:val="subscript"/>
                <w:lang w:val="en-US" w:eastAsia="zh-CN"/>
              </w:rPr>
              <w:t>u</w:t>
            </w:r>
            <w:r>
              <w:rPr>
                <w:rFonts w:hint="eastAsia"/>
                <w:color w:val="auto"/>
                <w:highlight w:val="none"/>
              </w:rPr>
              <w:t>、</w:t>
            </w:r>
            <w:r>
              <w:rPr>
                <w:rFonts w:hint="eastAsia"/>
                <w:color w:val="auto"/>
                <w:lang w:val="en-US" w:eastAsia="zh-CN"/>
              </w:rPr>
              <w:t>B</w:t>
            </w:r>
            <w:r>
              <w:rPr>
                <w:rFonts w:hint="eastAsia"/>
                <w:color w:val="auto"/>
                <w:vertAlign w:val="subscript"/>
                <w:lang w:val="en-US" w:eastAsia="zh-CN"/>
              </w:rPr>
              <w:t>u</w:t>
            </w:r>
            <w:r>
              <w:rPr>
                <w:rFonts w:hint="eastAsia"/>
                <w:color w:val="auto"/>
                <w:highlight w:val="none"/>
              </w:rPr>
              <w:t>、</w:t>
            </w:r>
            <w:r>
              <w:rPr>
                <w:rFonts w:hint="eastAsia"/>
                <w:color w:val="auto"/>
                <w:lang w:val="en-US" w:eastAsia="zh-CN"/>
              </w:rPr>
              <w:t>C</w:t>
            </w:r>
            <w:r>
              <w:rPr>
                <w:rFonts w:hint="eastAsia"/>
                <w:color w:val="auto"/>
                <w:vertAlign w:val="subscript"/>
                <w:lang w:val="en-US" w:eastAsia="zh-CN"/>
              </w:rPr>
              <w:t>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1" w:hRule="atLeast"/>
          <w:jc w:val="center"/>
        </w:trPr>
        <w:tc>
          <w:tcPr>
            <w:tcW w:w="1100" w:type="pct"/>
            <w:tcBorders>
              <w:bottom w:val="single" w:color="auto" w:sz="4" w:space="0"/>
            </w:tcBorders>
            <w:vAlign w:val="center"/>
          </w:tcPr>
          <w:p>
            <w:pPr>
              <w:pStyle w:val="24"/>
              <w:bidi w:val="0"/>
              <w:jc w:val="center"/>
              <w:rPr>
                <w:rFonts w:hint="default"/>
                <w:color w:val="auto"/>
                <w:lang w:val="en-US"/>
              </w:rPr>
            </w:pPr>
            <w:r>
              <w:rPr>
                <w:rFonts w:hint="eastAsia"/>
                <w:color w:val="auto"/>
                <w:lang w:val="en-US" w:eastAsia="zh-CN"/>
              </w:rPr>
              <w:t>第一级鉴定</w:t>
            </w:r>
          </w:p>
        </w:tc>
        <w:tc>
          <w:tcPr>
            <w:tcW w:w="2323" w:type="pct"/>
            <w:tcBorders>
              <w:bottom w:val="single" w:color="auto" w:sz="4" w:space="0"/>
              <w:right w:val="single" w:color="auto" w:sz="4" w:space="0"/>
            </w:tcBorders>
            <w:vAlign w:val="center"/>
          </w:tcPr>
          <w:p>
            <w:pPr>
              <w:pStyle w:val="24"/>
              <w:bidi w:val="0"/>
              <w:jc w:val="center"/>
              <w:rPr>
                <w:rFonts w:hint="eastAsia"/>
                <w:color w:val="auto"/>
              </w:rPr>
            </w:pPr>
            <w:r>
              <w:rPr>
                <w:rFonts w:hint="eastAsia"/>
                <w:color w:val="auto"/>
                <w:lang w:val="en-US" w:eastAsia="zh-CN"/>
              </w:rPr>
              <w:t>结构体系</w:t>
            </w:r>
          </w:p>
        </w:tc>
        <w:tc>
          <w:tcPr>
            <w:tcW w:w="1576" w:type="pct"/>
            <w:vMerge w:val="restart"/>
            <w:tcBorders>
              <w:left w:val="single" w:color="auto" w:sz="4" w:space="0"/>
            </w:tcBorders>
            <w:vAlign w:val="center"/>
          </w:tcPr>
          <w:p>
            <w:pPr>
              <w:pStyle w:val="24"/>
              <w:bidi w:val="0"/>
              <w:jc w:val="left"/>
              <w:rPr>
                <w:rFonts w:hint="eastAsia" w:eastAsia="宋体"/>
                <w:color w:val="auto"/>
                <w:lang w:val="en-US" w:eastAsia="zh-CN"/>
              </w:rPr>
            </w:pPr>
            <w:r>
              <w:rPr>
                <w:rFonts w:hint="eastAsia"/>
                <w:color w:val="auto"/>
                <w:lang w:val="en-US" w:eastAsia="zh-CN"/>
              </w:rPr>
              <w:t>第一级鉴定评级为C</w:t>
            </w:r>
            <w:r>
              <w:rPr>
                <w:rFonts w:hint="eastAsia"/>
                <w:color w:val="auto"/>
                <w:vertAlign w:val="subscript"/>
                <w:lang w:val="en-US" w:eastAsia="zh-CN"/>
              </w:rPr>
              <w:t>u</w:t>
            </w:r>
            <w:r>
              <w:rPr>
                <w:rFonts w:hint="eastAsia"/>
                <w:color w:val="auto"/>
                <w:lang w:val="en-US" w:eastAsia="zh-CN"/>
              </w:rPr>
              <w:t>级时，上部结构直接评为C</w:t>
            </w:r>
            <w:r>
              <w:rPr>
                <w:rFonts w:hint="eastAsia"/>
                <w:color w:val="auto"/>
                <w:vertAlign w:val="subscript"/>
                <w:lang w:val="en-US" w:eastAsia="zh-CN"/>
              </w:rPr>
              <w:t>u</w:t>
            </w:r>
            <w:r>
              <w:rPr>
                <w:rFonts w:hint="eastAsia"/>
                <w:color w:val="auto"/>
                <w:lang w:val="en-US" w:eastAsia="zh-CN"/>
              </w:rPr>
              <w:t>级，否则应取两级鉴定评级等级中最低等级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2" w:hRule="atLeast"/>
          <w:jc w:val="center"/>
        </w:trPr>
        <w:tc>
          <w:tcPr>
            <w:tcW w:w="1100" w:type="pct"/>
            <w:tcBorders>
              <w:top w:val="single" w:color="auto" w:sz="4" w:space="0"/>
            </w:tcBorders>
            <w:vAlign w:val="center"/>
          </w:tcPr>
          <w:p>
            <w:pPr>
              <w:pStyle w:val="24"/>
              <w:bidi w:val="0"/>
              <w:jc w:val="center"/>
              <w:rPr>
                <w:rFonts w:hint="eastAsia"/>
                <w:color w:val="auto"/>
              </w:rPr>
            </w:pPr>
            <w:r>
              <w:rPr>
                <w:rFonts w:hint="eastAsia"/>
                <w:color w:val="auto"/>
                <w:lang w:val="en-US" w:eastAsia="zh-CN"/>
              </w:rPr>
              <w:t>第二级鉴定</w:t>
            </w:r>
          </w:p>
        </w:tc>
        <w:tc>
          <w:tcPr>
            <w:tcW w:w="2323" w:type="pct"/>
            <w:tcBorders>
              <w:top w:val="single" w:color="auto" w:sz="4" w:space="0"/>
              <w:right w:val="single" w:color="auto" w:sz="4" w:space="0"/>
            </w:tcBorders>
            <w:vAlign w:val="center"/>
          </w:tcPr>
          <w:p>
            <w:pPr>
              <w:pStyle w:val="24"/>
              <w:bidi w:val="0"/>
              <w:jc w:val="center"/>
              <w:rPr>
                <w:rFonts w:hint="default" w:eastAsia="宋体"/>
                <w:color w:val="auto"/>
                <w:lang w:val="en-US" w:eastAsia="zh-CN"/>
              </w:rPr>
            </w:pPr>
            <w:r>
              <w:rPr>
                <w:rFonts w:hint="eastAsia"/>
                <w:color w:val="auto"/>
                <w:lang w:val="en-US" w:eastAsia="zh-CN"/>
              </w:rPr>
              <w:t>结构构件系统</w:t>
            </w:r>
          </w:p>
        </w:tc>
        <w:tc>
          <w:tcPr>
            <w:tcW w:w="1576" w:type="pct"/>
            <w:vMerge w:val="continue"/>
            <w:tcBorders>
              <w:left w:val="single" w:color="auto" w:sz="4" w:space="0"/>
            </w:tcBorders>
            <w:vAlign w:val="center"/>
          </w:tcPr>
          <w:p>
            <w:pPr>
              <w:pStyle w:val="24"/>
              <w:bidi w:val="0"/>
              <w:jc w:val="center"/>
              <w:rPr>
                <w:rFonts w:hint="eastAsia"/>
                <w:color w:val="auto"/>
                <w:lang w:val="en-US" w:eastAsia="zh-CN"/>
              </w:rPr>
            </w:pPr>
          </w:p>
        </w:tc>
      </w:tr>
    </w:tbl>
    <w:p>
      <w:pPr>
        <w:pStyle w:val="36"/>
        <w:bidi w:val="0"/>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上部结构</w:t>
      </w:r>
      <w:r>
        <w:rPr>
          <w:rFonts w:hint="eastAsia"/>
          <w:color w:val="auto"/>
          <w:lang w:val="en-US" w:eastAsia="zh-CN"/>
        </w:rPr>
        <w:t>结构体系鉴定</w:t>
      </w:r>
      <w:r>
        <w:rPr>
          <w:rFonts w:hint="eastAsia" w:ascii="宋体" w:hAnsi="宋体" w:eastAsia="宋体" w:cs="宋体"/>
          <w:color w:val="auto"/>
          <w:kern w:val="0"/>
          <w:sz w:val="24"/>
          <w:szCs w:val="24"/>
          <w:lang w:val="en-US" w:eastAsia="zh-CN" w:bidi="ar"/>
        </w:rPr>
        <w:t>评级应按表</w:t>
      </w: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color w:val="auto"/>
          <w:kern w:val="0"/>
          <w:sz w:val="24"/>
          <w:szCs w:val="24"/>
          <w:lang w:val="en-US" w:eastAsia="zh-CN" w:bidi="ar"/>
        </w:rPr>
        <w:instrText xml:space="preserve"> REF _Ref10814 \n \h </w:instrText>
      </w:r>
      <w:r>
        <w:rPr>
          <w:rFonts w:hint="eastAsia" w:ascii="宋体" w:hAnsi="宋体" w:eastAsia="宋体" w:cs="宋体"/>
          <w:color w:val="auto"/>
          <w:kern w:val="0"/>
          <w:sz w:val="24"/>
          <w:szCs w:val="24"/>
          <w:lang w:val="en-US" w:eastAsia="zh-CN" w:bidi="ar"/>
        </w:rPr>
        <w:fldChar w:fldCharType="separate"/>
      </w:r>
      <w:r>
        <w:rPr>
          <w:rFonts w:hint="eastAsia" w:ascii="宋体" w:hAnsi="宋体" w:eastAsia="宋体" w:cs="宋体"/>
          <w:color w:val="auto"/>
          <w:kern w:val="0"/>
          <w:sz w:val="24"/>
          <w:szCs w:val="24"/>
          <w:lang w:val="en-US" w:eastAsia="zh-CN" w:bidi="ar"/>
        </w:rPr>
        <w:t>6.6.5</w:t>
      </w:r>
      <w:r>
        <w:rPr>
          <w:rFonts w:hint="eastAsia" w:ascii="宋体" w:hAnsi="宋体" w:eastAsia="宋体" w:cs="宋体"/>
          <w:color w:val="auto"/>
          <w:kern w:val="0"/>
          <w:sz w:val="24"/>
          <w:szCs w:val="24"/>
          <w:lang w:val="en-US" w:eastAsia="zh-CN" w:bidi="ar"/>
        </w:rPr>
        <w:fldChar w:fldCharType="end"/>
      </w:r>
      <w:r>
        <w:rPr>
          <w:rFonts w:hint="eastAsia" w:ascii="宋体" w:hAnsi="宋体" w:cs="宋体"/>
          <w:color w:val="auto"/>
          <w:kern w:val="0"/>
          <w:sz w:val="24"/>
          <w:szCs w:val="24"/>
          <w:lang w:val="en-US" w:eastAsia="zh-CN" w:bidi="ar"/>
        </w:rPr>
        <w:t>-3和以下</w:t>
      </w:r>
      <w:r>
        <w:rPr>
          <w:rFonts w:hint="eastAsia" w:ascii="宋体" w:hAnsi="宋体" w:eastAsia="宋体" w:cs="宋体"/>
          <w:color w:val="auto"/>
          <w:kern w:val="0"/>
          <w:sz w:val="24"/>
          <w:szCs w:val="24"/>
          <w:lang w:val="en-US" w:eastAsia="zh-CN" w:bidi="ar"/>
        </w:rPr>
        <w:t>规定</w:t>
      </w:r>
      <w:r>
        <w:rPr>
          <w:rFonts w:hint="eastAsia" w:ascii="宋体" w:hAnsi="宋体" w:cs="宋体"/>
          <w:color w:val="auto"/>
          <w:kern w:val="0"/>
          <w:sz w:val="24"/>
          <w:szCs w:val="24"/>
          <w:lang w:val="en-US" w:eastAsia="zh-CN" w:bidi="ar"/>
        </w:rPr>
        <w:t>进行：</w:t>
      </w:r>
    </w:p>
    <w:p>
      <w:pPr>
        <w:pStyle w:val="37"/>
        <w:bidi w:val="0"/>
        <w:rPr>
          <w:rFonts w:hint="eastAsia"/>
          <w:color w:val="auto"/>
          <w:lang w:val="en-US" w:eastAsia="zh-CN"/>
        </w:rPr>
      </w:pPr>
      <w:r>
        <w:rPr>
          <w:rFonts w:hint="eastAsia"/>
          <w:color w:val="auto"/>
          <w:lang w:val="en-US" w:eastAsia="zh-CN"/>
        </w:rPr>
        <w:t>结构体系检查项目符合各章相应规定时可评为A</w:t>
      </w:r>
      <w:r>
        <w:rPr>
          <w:rFonts w:hint="eastAsia"/>
          <w:color w:val="auto"/>
          <w:vertAlign w:val="subscript"/>
          <w:lang w:val="en-US" w:eastAsia="zh-CN"/>
        </w:rPr>
        <w:t>u</w:t>
      </w:r>
      <w:r>
        <w:rPr>
          <w:rFonts w:hint="eastAsia"/>
          <w:color w:val="auto"/>
          <w:lang w:val="en-US" w:eastAsia="zh-CN"/>
        </w:rPr>
        <w:t>级；不符合规定时，应检查不符合相关部位是否出现位移、变形、裂缝或其他损伤等影响结构整体性能的破损特征，出现时应评为C</w:t>
      </w:r>
      <w:r>
        <w:rPr>
          <w:rFonts w:hint="eastAsia"/>
          <w:color w:val="auto"/>
          <w:vertAlign w:val="subscript"/>
          <w:lang w:val="en-US" w:eastAsia="zh-CN"/>
        </w:rPr>
        <w:t>u</w:t>
      </w:r>
      <w:r>
        <w:rPr>
          <w:rFonts w:hint="eastAsia"/>
          <w:color w:val="auto"/>
          <w:lang w:val="en-US" w:eastAsia="zh-CN"/>
        </w:rPr>
        <w:t>级，未出现可评为B</w:t>
      </w:r>
      <w:r>
        <w:rPr>
          <w:rFonts w:hint="eastAsia"/>
          <w:color w:val="auto"/>
          <w:vertAlign w:val="subscript"/>
          <w:lang w:val="en-US" w:eastAsia="zh-CN"/>
        </w:rPr>
        <w:t>u</w:t>
      </w:r>
      <w:r>
        <w:rPr>
          <w:rFonts w:hint="eastAsia"/>
          <w:color w:val="auto"/>
          <w:lang w:val="en-US" w:eastAsia="zh-CN"/>
        </w:rPr>
        <w:t>级。</w:t>
      </w:r>
    </w:p>
    <w:p>
      <w:pPr>
        <w:pStyle w:val="37"/>
        <w:bidi w:val="0"/>
        <w:rPr>
          <w:rFonts w:hint="eastAsia"/>
          <w:color w:val="auto"/>
          <w:lang w:val="en-US" w:eastAsia="zh-CN"/>
        </w:rPr>
      </w:pPr>
      <w:r>
        <w:rPr>
          <w:rFonts w:hint="eastAsia"/>
          <w:color w:val="auto"/>
          <w:highlight w:val="none"/>
          <w:lang w:val="en-US" w:eastAsia="zh-CN"/>
        </w:rPr>
        <w:t>结构体系鉴定评级应根据各检查项目评定结果确定，除特别规定外，</w:t>
      </w:r>
      <w:r>
        <w:rPr>
          <w:rFonts w:hint="eastAsia"/>
          <w:color w:val="auto"/>
          <w:lang w:val="en-US" w:eastAsia="zh-CN"/>
        </w:rPr>
        <w:t>当各检查项目均不低于B</w:t>
      </w:r>
      <w:r>
        <w:rPr>
          <w:rFonts w:hint="eastAsia"/>
          <w:color w:val="auto"/>
          <w:vertAlign w:val="subscript"/>
          <w:lang w:val="en-US" w:eastAsia="zh-CN"/>
        </w:rPr>
        <w:t>u</w:t>
      </w:r>
      <w:r>
        <w:rPr>
          <w:rFonts w:hint="eastAsia"/>
          <w:color w:val="auto"/>
          <w:lang w:val="en-US" w:eastAsia="zh-CN"/>
        </w:rPr>
        <w:t>级时，可按占多数的等级确定；当仅一个检查项目为C</w:t>
      </w:r>
      <w:r>
        <w:rPr>
          <w:rFonts w:hint="eastAsia"/>
          <w:color w:val="auto"/>
          <w:vertAlign w:val="subscript"/>
          <w:lang w:val="en-US" w:eastAsia="zh-CN"/>
        </w:rPr>
        <w:t>u</w:t>
      </w:r>
      <w:r>
        <w:rPr>
          <w:rFonts w:hint="eastAsia"/>
          <w:color w:val="auto"/>
          <w:lang w:val="en-US" w:eastAsia="zh-CN"/>
        </w:rPr>
        <w:t>级时，除特别规定外，可根据实际不符合程度评为B</w:t>
      </w:r>
      <w:r>
        <w:rPr>
          <w:rFonts w:hint="eastAsia"/>
          <w:color w:val="auto"/>
          <w:vertAlign w:val="subscript"/>
          <w:lang w:val="en-US" w:eastAsia="zh-CN"/>
        </w:rPr>
        <w:t>u</w:t>
      </w:r>
      <w:r>
        <w:rPr>
          <w:rFonts w:hint="eastAsia"/>
          <w:color w:val="auto"/>
          <w:lang w:val="en-US" w:eastAsia="zh-CN"/>
        </w:rPr>
        <w:t>级或C</w:t>
      </w:r>
      <w:r>
        <w:rPr>
          <w:rFonts w:hint="eastAsia"/>
          <w:color w:val="auto"/>
          <w:vertAlign w:val="subscript"/>
          <w:lang w:val="en-US" w:eastAsia="zh-CN"/>
        </w:rPr>
        <w:t>u</w:t>
      </w:r>
      <w:r>
        <w:rPr>
          <w:rFonts w:hint="eastAsia"/>
          <w:color w:val="auto"/>
          <w:lang w:val="en-US" w:eastAsia="zh-CN"/>
        </w:rPr>
        <w:t>级；当有一个以上检查项目为C</w:t>
      </w:r>
      <w:r>
        <w:rPr>
          <w:rFonts w:hint="eastAsia"/>
          <w:color w:val="auto"/>
          <w:vertAlign w:val="subscript"/>
          <w:lang w:val="en-US" w:eastAsia="zh-CN"/>
        </w:rPr>
        <w:t>u</w:t>
      </w:r>
      <w:r>
        <w:rPr>
          <w:rFonts w:hint="eastAsia"/>
          <w:color w:val="auto"/>
          <w:lang w:val="en-US" w:eastAsia="zh-CN"/>
        </w:rPr>
        <w:t>级时，应评为C</w:t>
      </w:r>
      <w:r>
        <w:rPr>
          <w:rFonts w:hint="eastAsia"/>
          <w:color w:val="auto"/>
          <w:vertAlign w:val="subscript"/>
          <w:lang w:val="en-US" w:eastAsia="zh-CN"/>
        </w:rPr>
        <w:t>u</w:t>
      </w:r>
      <w:r>
        <w:rPr>
          <w:rFonts w:hint="eastAsia"/>
          <w:color w:val="auto"/>
          <w:lang w:val="en-US" w:eastAsia="zh-CN"/>
        </w:rPr>
        <w:t>级。</w:t>
      </w:r>
    </w:p>
    <w:p>
      <w:pPr>
        <w:pStyle w:val="36"/>
        <w:bidi w:val="0"/>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上部结构</w:t>
      </w:r>
      <w:r>
        <w:rPr>
          <w:rFonts w:hint="eastAsia"/>
          <w:color w:val="auto"/>
          <w:lang w:val="en-US" w:eastAsia="zh-CN"/>
        </w:rPr>
        <w:t>结构构件系统鉴定从构件层次展开，按</w:t>
      </w:r>
      <w:r>
        <w:rPr>
          <w:rFonts w:hint="eastAsia" w:ascii="宋体" w:hAnsi="宋体" w:eastAsia="宋体" w:cs="宋体"/>
          <w:color w:val="auto"/>
          <w:kern w:val="0"/>
          <w:sz w:val="24"/>
          <w:szCs w:val="24"/>
          <w:lang w:val="en-US" w:eastAsia="zh-CN" w:bidi="ar"/>
        </w:rPr>
        <w:t>表</w:t>
      </w: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color w:val="auto"/>
          <w:kern w:val="0"/>
          <w:sz w:val="24"/>
          <w:szCs w:val="24"/>
          <w:lang w:val="en-US" w:eastAsia="zh-CN" w:bidi="ar"/>
        </w:rPr>
        <w:instrText xml:space="preserve"> REF _Ref10814 \n \h </w:instrText>
      </w:r>
      <w:r>
        <w:rPr>
          <w:rFonts w:hint="eastAsia" w:ascii="宋体" w:hAnsi="宋体" w:eastAsia="宋体" w:cs="宋体"/>
          <w:color w:val="auto"/>
          <w:kern w:val="0"/>
          <w:sz w:val="24"/>
          <w:szCs w:val="24"/>
          <w:lang w:val="en-US" w:eastAsia="zh-CN" w:bidi="ar"/>
        </w:rPr>
        <w:fldChar w:fldCharType="separate"/>
      </w:r>
      <w:r>
        <w:rPr>
          <w:rFonts w:hint="eastAsia" w:ascii="宋体" w:hAnsi="宋体" w:eastAsia="宋体" w:cs="宋体"/>
          <w:color w:val="auto"/>
          <w:kern w:val="0"/>
          <w:sz w:val="24"/>
          <w:szCs w:val="24"/>
          <w:lang w:val="en-US" w:eastAsia="zh-CN" w:bidi="ar"/>
        </w:rPr>
        <w:t>6.6.5</w:t>
      </w:r>
      <w:r>
        <w:rPr>
          <w:rFonts w:hint="eastAsia" w:ascii="宋体" w:hAnsi="宋体" w:eastAsia="宋体" w:cs="宋体"/>
          <w:color w:val="auto"/>
          <w:kern w:val="0"/>
          <w:sz w:val="24"/>
          <w:szCs w:val="24"/>
          <w:lang w:val="en-US" w:eastAsia="zh-CN" w:bidi="ar"/>
        </w:rPr>
        <w:fldChar w:fldCharType="end"/>
      </w:r>
      <w:r>
        <w:rPr>
          <w:rFonts w:hint="eastAsia" w:ascii="宋体" w:hAnsi="宋体" w:cs="宋体"/>
          <w:color w:val="auto"/>
          <w:kern w:val="0"/>
          <w:sz w:val="24"/>
          <w:szCs w:val="24"/>
          <w:lang w:val="en-US" w:eastAsia="zh-CN" w:bidi="ar"/>
        </w:rPr>
        <w:t>-3和</w:t>
      </w:r>
      <w:r>
        <w:rPr>
          <w:rFonts w:hint="eastAsia"/>
          <w:color w:val="auto"/>
          <w:lang w:val="en-US" w:eastAsia="zh-CN"/>
        </w:rPr>
        <w:t>第7章规定进行评级；除特别规定外，构件检查项目评级应符合下列规定，并取各检查项目最低一级作为构件安全性等级：</w:t>
      </w:r>
    </w:p>
    <w:p>
      <w:pPr>
        <w:pStyle w:val="37"/>
        <w:bidi w:val="0"/>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当构件无位移变形、裂缝损伤，</w:t>
      </w:r>
      <w:r>
        <w:rPr>
          <w:rFonts w:hint="eastAsia"/>
          <w:color w:val="auto"/>
          <w:lang w:val="en-US" w:eastAsia="zh-CN"/>
        </w:rPr>
        <w:t>相应检查项目评为a</w:t>
      </w:r>
      <w:r>
        <w:rPr>
          <w:rFonts w:hint="eastAsia" w:hAnsi="Cambria Math" w:cs="宋体"/>
          <w:color w:val="auto"/>
          <w:kern w:val="0"/>
          <w:szCs w:val="24"/>
          <w:vertAlign w:val="subscript"/>
          <w:lang w:val="en-US" w:eastAsia="zh-CN" w:bidi="ar"/>
        </w:rPr>
        <w:t>u</w:t>
      </w:r>
      <w:r>
        <w:rPr>
          <w:rFonts w:hint="eastAsia"/>
          <w:color w:val="auto"/>
          <w:lang w:val="en-US" w:eastAsia="zh-CN"/>
        </w:rPr>
        <w:t>级</w:t>
      </w:r>
      <w:r>
        <w:rPr>
          <w:rFonts w:hint="eastAsia" w:ascii="宋体" w:hAnsi="宋体" w:cs="宋体"/>
          <w:color w:val="auto"/>
          <w:kern w:val="0"/>
          <w:sz w:val="24"/>
          <w:szCs w:val="24"/>
          <w:lang w:val="en-US" w:eastAsia="zh-CN" w:bidi="ar"/>
        </w:rPr>
        <w:t>；</w:t>
      </w:r>
    </w:p>
    <w:p>
      <w:pPr>
        <w:pStyle w:val="37"/>
        <w:bidi w:val="0"/>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当构件位移变形、裂缝损伤对应指标不超过c</w:t>
      </w:r>
      <w:r>
        <w:rPr>
          <w:rFonts w:hint="eastAsia" w:ascii="Times New Roman" w:hAnsi="Cambria Math" w:cs="宋体"/>
          <w:color w:val="auto"/>
          <w:kern w:val="0"/>
          <w:sz w:val="24"/>
          <w:szCs w:val="24"/>
          <w:vertAlign w:val="subscript"/>
          <w:lang w:val="en-US" w:eastAsia="zh-CN" w:bidi="ar"/>
        </w:rPr>
        <w:t>u</w:t>
      </w:r>
      <w:r>
        <w:rPr>
          <w:rFonts w:hint="eastAsia" w:ascii="宋体" w:hAnsi="宋体" w:cs="宋体"/>
          <w:color w:val="auto"/>
          <w:kern w:val="0"/>
          <w:sz w:val="24"/>
          <w:szCs w:val="24"/>
          <w:lang w:val="en-US" w:eastAsia="zh-CN" w:bidi="ar"/>
        </w:rPr>
        <w:t>级限值，</w:t>
      </w:r>
      <w:r>
        <w:rPr>
          <w:rFonts w:hint="eastAsia"/>
          <w:color w:val="auto"/>
          <w:lang w:val="en-US" w:eastAsia="zh-CN"/>
        </w:rPr>
        <w:t>相应检查项目</w:t>
      </w:r>
      <w:r>
        <w:rPr>
          <w:rFonts w:hint="eastAsia" w:ascii="宋体" w:hAnsi="宋体" w:cs="宋体"/>
          <w:color w:val="auto"/>
          <w:kern w:val="0"/>
          <w:sz w:val="24"/>
          <w:szCs w:val="24"/>
          <w:lang w:val="en-US" w:eastAsia="zh-CN" w:bidi="ar"/>
        </w:rPr>
        <w:t>评为b</w:t>
      </w:r>
      <w:r>
        <w:rPr>
          <w:rFonts w:hint="eastAsia" w:ascii="Times New Roman" w:hAnsi="Cambria Math" w:cs="宋体"/>
          <w:color w:val="auto"/>
          <w:kern w:val="0"/>
          <w:sz w:val="24"/>
          <w:szCs w:val="24"/>
          <w:vertAlign w:val="subscript"/>
          <w:lang w:val="en-US" w:eastAsia="zh-CN" w:bidi="ar"/>
        </w:rPr>
        <w:t>u</w:t>
      </w:r>
      <w:r>
        <w:rPr>
          <w:rFonts w:hint="eastAsia" w:ascii="宋体" w:hAnsi="宋体" w:cs="宋体"/>
          <w:color w:val="auto"/>
          <w:kern w:val="0"/>
          <w:sz w:val="24"/>
          <w:szCs w:val="24"/>
          <w:lang w:val="en-US" w:eastAsia="zh-CN" w:bidi="ar"/>
        </w:rPr>
        <w:t>级；</w:t>
      </w:r>
    </w:p>
    <w:p>
      <w:pPr>
        <w:pStyle w:val="37"/>
        <w:bidi w:val="0"/>
        <w:rPr>
          <w:rFonts w:hint="eastAsia" w:ascii="宋体" w:hAnsi="宋体" w:cs="宋体"/>
          <w:color w:val="auto"/>
          <w:kern w:val="0"/>
          <w:sz w:val="24"/>
          <w:szCs w:val="24"/>
          <w:lang w:val="en-US" w:eastAsia="zh-CN" w:bidi="ar"/>
        </w:rPr>
      </w:pPr>
      <w:r>
        <w:rPr>
          <w:rFonts w:hint="eastAsia" w:ascii="宋体" w:hAnsi="宋体" w:cs="宋体"/>
          <w:color w:val="auto"/>
          <w:kern w:val="0"/>
          <w:sz w:val="24"/>
          <w:szCs w:val="24"/>
          <w:lang w:val="en-US" w:eastAsia="zh-CN" w:bidi="ar"/>
        </w:rPr>
        <w:t>当构件位移变形、裂缝损伤对应指标超过c</w:t>
      </w:r>
      <w:r>
        <w:rPr>
          <w:rFonts w:hint="eastAsia" w:ascii="Times New Roman" w:hAnsi="Cambria Math" w:cs="宋体"/>
          <w:color w:val="auto"/>
          <w:kern w:val="0"/>
          <w:sz w:val="24"/>
          <w:szCs w:val="24"/>
          <w:vertAlign w:val="subscript"/>
          <w:lang w:val="en-US" w:eastAsia="zh-CN" w:bidi="ar"/>
        </w:rPr>
        <w:t>u</w:t>
      </w:r>
      <w:r>
        <w:rPr>
          <w:rFonts w:hint="eastAsia" w:ascii="宋体" w:hAnsi="宋体" w:cs="宋体"/>
          <w:color w:val="auto"/>
          <w:kern w:val="0"/>
          <w:sz w:val="24"/>
          <w:szCs w:val="24"/>
          <w:lang w:val="en-US" w:eastAsia="zh-CN" w:bidi="ar"/>
        </w:rPr>
        <w:t>级限值，一般应评为c</w:t>
      </w:r>
      <w:r>
        <w:rPr>
          <w:rFonts w:hint="eastAsia" w:ascii="Times New Roman" w:hAnsi="Cambria Math" w:cs="宋体"/>
          <w:color w:val="auto"/>
          <w:kern w:val="0"/>
          <w:sz w:val="24"/>
          <w:szCs w:val="24"/>
          <w:vertAlign w:val="subscript"/>
          <w:lang w:val="en-US" w:eastAsia="zh-CN" w:bidi="ar"/>
        </w:rPr>
        <w:t>u</w:t>
      </w:r>
      <w:r>
        <w:rPr>
          <w:rFonts w:hint="eastAsia" w:ascii="宋体" w:hAnsi="宋体" w:cs="宋体"/>
          <w:color w:val="auto"/>
          <w:kern w:val="0"/>
          <w:sz w:val="24"/>
          <w:szCs w:val="24"/>
          <w:lang w:val="en-US" w:eastAsia="zh-CN" w:bidi="ar"/>
        </w:rPr>
        <w:t>级；当考虑位移变形、裂缝损伤的影响进行承载力复核且验算项目评级不低于b</w:t>
      </w:r>
      <w:r>
        <w:rPr>
          <w:rFonts w:hint="eastAsia" w:ascii="Times New Roman" w:hAnsi="Cambria Math" w:cs="宋体"/>
          <w:color w:val="auto"/>
          <w:kern w:val="0"/>
          <w:sz w:val="24"/>
          <w:szCs w:val="24"/>
          <w:vertAlign w:val="subscript"/>
          <w:lang w:val="en-US" w:eastAsia="zh-CN" w:bidi="ar"/>
        </w:rPr>
        <w:t>u</w:t>
      </w:r>
      <w:r>
        <w:rPr>
          <w:rFonts w:hint="eastAsia" w:ascii="宋体" w:hAnsi="宋体" w:cs="宋体"/>
          <w:color w:val="auto"/>
          <w:kern w:val="0"/>
          <w:sz w:val="24"/>
          <w:szCs w:val="24"/>
          <w:lang w:val="en-US" w:eastAsia="zh-CN" w:bidi="ar"/>
        </w:rPr>
        <w:t>级时，</w:t>
      </w:r>
      <w:r>
        <w:rPr>
          <w:rFonts w:hint="eastAsia"/>
          <w:color w:val="auto"/>
          <w:lang w:val="en-US" w:eastAsia="zh-CN"/>
        </w:rPr>
        <w:t>相应检查项目也</w:t>
      </w:r>
      <w:r>
        <w:rPr>
          <w:rFonts w:hint="eastAsia" w:ascii="宋体" w:hAnsi="宋体" w:cs="宋体"/>
          <w:color w:val="auto"/>
          <w:kern w:val="0"/>
          <w:sz w:val="24"/>
          <w:szCs w:val="24"/>
          <w:lang w:val="en-US" w:eastAsia="zh-CN" w:bidi="ar"/>
        </w:rPr>
        <w:t>可评为b</w:t>
      </w:r>
      <w:r>
        <w:rPr>
          <w:rFonts w:hint="eastAsia" w:ascii="Times New Roman" w:hAnsi="Cambria Math" w:cs="宋体"/>
          <w:color w:val="auto"/>
          <w:kern w:val="0"/>
          <w:sz w:val="24"/>
          <w:szCs w:val="24"/>
          <w:vertAlign w:val="subscript"/>
          <w:lang w:val="en-US" w:eastAsia="zh-CN" w:bidi="ar"/>
        </w:rPr>
        <w:t>u</w:t>
      </w:r>
      <w:r>
        <w:rPr>
          <w:rFonts w:hint="eastAsia" w:ascii="宋体" w:hAnsi="宋体" w:cs="宋体"/>
          <w:color w:val="auto"/>
          <w:kern w:val="0"/>
          <w:sz w:val="24"/>
          <w:szCs w:val="24"/>
          <w:lang w:val="en-US" w:eastAsia="zh-CN" w:bidi="ar"/>
        </w:rPr>
        <w:t>级。</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_Ref10814 \n \h </w:instrText>
      </w:r>
      <w:r>
        <w:rPr>
          <w:rFonts w:hint="eastAsia"/>
          <w:color w:val="auto"/>
          <w:lang w:val="en-US" w:eastAsia="zh-CN"/>
        </w:rPr>
        <w:fldChar w:fldCharType="separate"/>
      </w:r>
      <w:r>
        <w:rPr>
          <w:rFonts w:hint="eastAsia"/>
          <w:color w:val="auto"/>
          <w:lang w:val="en-US" w:eastAsia="zh-CN"/>
        </w:rPr>
        <w:t>6.6.5</w:t>
      </w:r>
      <w:r>
        <w:rPr>
          <w:rFonts w:hint="eastAsia"/>
          <w:color w:val="auto"/>
          <w:lang w:val="en-US" w:eastAsia="zh-CN"/>
        </w:rPr>
        <w:fldChar w:fldCharType="end"/>
      </w:r>
      <w:r>
        <w:rPr>
          <w:rFonts w:hint="eastAsia"/>
          <w:color w:val="auto"/>
          <w:lang w:val="en-US" w:eastAsia="zh-CN"/>
        </w:rPr>
        <w:t>-3 上部结构鉴定评级的层次、步骤和方法</w:t>
      </w:r>
    </w:p>
    <w:tbl>
      <w:tblPr>
        <w:tblStyle w:val="27"/>
        <w:tblW w:w="507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14"/>
        <w:gridCol w:w="1737"/>
        <w:gridCol w:w="1707"/>
        <w:gridCol w:w="1835"/>
        <w:gridCol w:w="18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jc w:val="center"/>
        </w:trPr>
        <w:tc>
          <w:tcPr>
            <w:tcW w:w="778" w:type="pct"/>
            <w:vAlign w:val="center"/>
          </w:tcPr>
          <w:p>
            <w:pPr>
              <w:pStyle w:val="24"/>
              <w:bidi w:val="0"/>
              <w:rPr>
                <w:rFonts w:hint="eastAsia" w:eastAsia="宋体"/>
                <w:color w:val="auto"/>
                <w:lang w:val="en-US" w:eastAsia="zh-CN"/>
              </w:rPr>
            </w:pPr>
            <w:r>
              <w:rPr>
                <w:rFonts w:hint="eastAsia"/>
                <w:color w:val="auto"/>
                <w:lang w:val="en-US" w:eastAsia="zh-CN"/>
              </w:rPr>
              <w:t>分级</w:t>
            </w:r>
          </w:p>
        </w:tc>
        <w:tc>
          <w:tcPr>
            <w:tcW w:w="1029" w:type="pct"/>
            <w:tcBorders>
              <w:right w:val="single" w:color="auto" w:sz="4" w:space="0"/>
            </w:tcBorders>
            <w:vAlign w:val="center"/>
          </w:tcPr>
          <w:p>
            <w:pPr>
              <w:pStyle w:val="24"/>
              <w:bidi w:val="0"/>
              <w:rPr>
                <w:rFonts w:hint="eastAsia"/>
                <w:color w:val="auto"/>
                <w:lang w:val="en-US" w:eastAsia="zh-CN"/>
              </w:rPr>
            </w:pPr>
            <w:r>
              <w:rPr>
                <w:rFonts w:hint="eastAsia"/>
                <w:color w:val="auto"/>
                <w:lang w:val="en-US" w:eastAsia="zh-CN"/>
              </w:rPr>
              <w:t>第一级</w:t>
            </w:r>
          </w:p>
          <w:p>
            <w:pPr>
              <w:pStyle w:val="24"/>
              <w:bidi w:val="0"/>
              <w:rPr>
                <w:rFonts w:hint="default"/>
                <w:color w:val="auto"/>
                <w:lang w:val="en-US" w:eastAsia="zh-CN"/>
              </w:rPr>
            </w:pPr>
            <w:r>
              <w:rPr>
                <w:rFonts w:hint="eastAsia"/>
                <w:color w:val="auto"/>
                <w:lang w:val="en-US" w:eastAsia="zh-CN"/>
              </w:rPr>
              <w:t>结构体系</w:t>
            </w:r>
          </w:p>
        </w:tc>
        <w:tc>
          <w:tcPr>
            <w:tcW w:w="3191" w:type="pct"/>
            <w:gridSpan w:val="3"/>
            <w:tcBorders>
              <w:left w:val="single" w:color="auto" w:sz="4" w:space="0"/>
            </w:tcBorders>
            <w:vAlign w:val="center"/>
          </w:tcPr>
          <w:p>
            <w:pPr>
              <w:pStyle w:val="24"/>
              <w:bidi w:val="0"/>
              <w:rPr>
                <w:rFonts w:hint="eastAsia"/>
                <w:color w:val="auto"/>
                <w:lang w:val="en-US" w:eastAsia="zh-CN"/>
              </w:rPr>
            </w:pPr>
            <w:r>
              <w:rPr>
                <w:rFonts w:hint="eastAsia"/>
                <w:color w:val="auto"/>
                <w:lang w:val="en-US" w:eastAsia="zh-CN"/>
              </w:rPr>
              <w:t>第二级</w:t>
            </w:r>
          </w:p>
          <w:p>
            <w:pPr>
              <w:pStyle w:val="24"/>
              <w:bidi w:val="0"/>
              <w:rPr>
                <w:rFonts w:hint="default"/>
                <w:color w:val="auto"/>
                <w:lang w:val="en-US" w:eastAsia="zh-CN"/>
              </w:rPr>
            </w:pPr>
            <w:r>
              <w:rPr>
                <w:rFonts w:hint="eastAsia"/>
                <w:color w:val="auto"/>
                <w:lang w:val="en-US" w:eastAsia="zh-CN"/>
              </w:rPr>
              <w:t>结构构件系统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jc w:val="center"/>
        </w:trPr>
        <w:tc>
          <w:tcPr>
            <w:tcW w:w="778" w:type="pct"/>
            <w:vAlign w:val="center"/>
          </w:tcPr>
          <w:p>
            <w:pPr>
              <w:pStyle w:val="24"/>
              <w:bidi w:val="0"/>
              <w:rPr>
                <w:rFonts w:hint="eastAsia"/>
                <w:color w:val="auto"/>
              </w:rPr>
            </w:pPr>
            <w:r>
              <w:rPr>
                <w:rFonts w:hint="eastAsia"/>
                <w:color w:val="auto"/>
              </w:rPr>
              <w:t>层次</w:t>
            </w:r>
          </w:p>
        </w:tc>
        <w:tc>
          <w:tcPr>
            <w:tcW w:w="1029" w:type="pct"/>
            <w:tcBorders>
              <w:right w:val="single" w:color="auto" w:sz="4" w:space="0"/>
            </w:tcBorders>
            <w:vAlign w:val="center"/>
          </w:tcPr>
          <w:p>
            <w:pPr>
              <w:pStyle w:val="24"/>
              <w:bidi w:val="0"/>
              <w:rPr>
                <w:rFonts w:hint="eastAsia"/>
                <w:color w:val="auto"/>
                <w:lang w:val="en-US" w:eastAsia="zh-CN"/>
              </w:rPr>
            </w:pPr>
            <w:r>
              <w:rPr>
                <w:rFonts w:hint="eastAsia"/>
                <w:color w:val="auto"/>
                <w:lang w:val="en-US" w:eastAsia="zh-CN"/>
              </w:rPr>
              <w:t>/</w:t>
            </w:r>
          </w:p>
        </w:tc>
        <w:tc>
          <w:tcPr>
            <w:tcW w:w="1011" w:type="pct"/>
            <w:tcBorders>
              <w:left w:val="single" w:color="auto" w:sz="4" w:space="0"/>
            </w:tcBorders>
            <w:vAlign w:val="center"/>
          </w:tcPr>
          <w:p>
            <w:pPr>
              <w:pStyle w:val="24"/>
              <w:bidi w:val="0"/>
              <w:rPr>
                <w:rFonts w:hint="eastAsia"/>
                <w:color w:val="auto"/>
              </w:rPr>
            </w:pPr>
            <w:r>
              <w:rPr>
                <w:rFonts w:hint="eastAsia"/>
                <w:color w:val="auto"/>
              </w:rPr>
              <w:t>一</w:t>
            </w:r>
          </w:p>
        </w:tc>
        <w:tc>
          <w:tcPr>
            <w:tcW w:w="1087" w:type="pct"/>
            <w:vAlign w:val="center"/>
          </w:tcPr>
          <w:p>
            <w:pPr>
              <w:pStyle w:val="24"/>
              <w:bidi w:val="0"/>
              <w:rPr>
                <w:rFonts w:hint="eastAsia"/>
                <w:color w:val="auto"/>
              </w:rPr>
            </w:pPr>
            <w:r>
              <w:rPr>
                <w:rFonts w:hint="eastAsia"/>
                <w:color w:val="auto"/>
              </w:rPr>
              <w:t>二</w:t>
            </w:r>
          </w:p>
        </w:tc>
        <w:tc>
          <w:tcPr>
            <w:tcW w:w="1093" w:type="pct"/>
            <w:vAlign w:val="center"/>
          </w:tcPr>
          <w:p>
            <w:pPr>
              <w:pStyle w:val="24"/>
              <w:bidi w:val="0"/>
              <w:rPr>
                <w:rFonts w:hint="eastAsia"/>
                <w:color w:val="auto"/>
              </w:rPr>
            </w:pPr>
            <w:r>
              <w:rPr>
                <w:rFonts w:hint="eastAsia"/>
                <w:color w:val="auto"/>
              </w:rPr>
              <w:t>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jc w:val="center"/>
        </w:trPr>
        <w:tc>
          <w:tcPr>
            <w:tcW w:w="778" w:type="pct"/>
            <w:vAlign w:val="center"/>
          </w:tcPr>
          <w:p>
            <w:pPr>
              <w:pStyle w:val="24"/>
              <w:bidi w:val="0"/>
              <w:rPr>
                <w:rFonts w:hint="eastAsia"/>
                <w:color w:val="auto"/>
              </w:rPr>
            </w:pPr>
            <w:r>
              <w:rPr>
                <w:rFonts w:hint="eastAsia"/>
                <w:color w:val="auto"/>
              </w:rPr>
              <w:t>层名</w:t>
            </w:r>
          </w:p>
        </w:tc>
        <w:tc>
          <w:tcPr>
            <w:tcW w:w="1029" w:type="pct"/>
            <w:tcBorders>
              <w:right w:val="single" w:color="auto" w:sz="4" w:space="0"/>
            </w:tcBorders>
            <w:vAlign w:val="center"/>
          </w:tcPr>
          <w:p>
            <w:pPr>
              <w:pStyle w:val="24"/>
              <w:bidi w:val="0"/>
              <w:rPr>
                <w:rFonts w:hint="eastAsia"/>
                <w:color w:val="auto"/>
                <w:lang w:eastAsia="zh-CN"/>
              </w:rPr>
            </w:pPr>
            <w:r>
              <w:rPr>
                <w:rFonts w:hint="eastAsia"/>
                <w:color w:val="auto"/>
                <w:lang w:val="en-US" w:eastAsia="zh-CN"/>
              </w:rPr>
              <w:t>/</w:t>
            </w:r>
          </w:p>
        </w:tc>
        <w:tc>
          <w:tcPr>
            <w:tcW w:w="1011" w:type="pct"/>
            <w:tcBorders>
              <w:left w:val="single" w:color="auto" w:sz="4" w:space="0"/>
            </w:tcBorders>
            <w:vAlign w:val="center"/>
          </w:tcPr>
          <w:p>
            <w:pPr>
              <w:pStyle w:val="24"/>
              <w:bidi w:val="0"/>
              <w:rPr>
                <w:rFonts w:hint="eastAsia"/>
                <w:color w:val="auto"/>
                <w:lang w:val="en-US" w:eastAsia="zh-CN"/>
              </w:rPr>
            </w:pPr>
            <w:r>
              <w:rPr>
                <w:rFonts w:hint="eastAsia"/>
                <w:color w:val="auto"/>
                <w:lang w:val="en-US" w:eastAsia="zh-CN"/>
              </w:rPr>
              <w:t>构件</w:t>
            </w:r>
          </w:p>
        </w:tc>
        <w:tc>
          <w:tcPr>
            <w:tcW w:w="1087" w:type="pct"/>
            <w:vAlign w:val="center"/>
          </w:tcPr>
          <w:p>
            <w:pPr>
              <w:pStyle w:val="24"/>
              <w:bidi w:val="0"/>
              <w:rPr>
                <w:rFonts w:hint="eastAsia"/>
                <w:color w:val="auto"/>
                <w:lang w:val="en-US" w:eastAsia="zh-CN"/>
              </w:rPr>
            </w:pPr>
            <w:r>
              <w:rPr>
                <w:rFonts w:hint="eastAsia"/>
                <w:color w:val="auto"/>
                <w:lang w:val="en-US" w:eastAsia="zh-CN"/>
              </w:rPr>
              <w:t>楼层</w:t>
            </w:r>
          </w:p>
        </w:tc>
        <w:tc>
          <w:tcPr>
            <w:tcW w:w="1093" w:type="pct"/>
            <w:vAlign w:val="center"/>
          </w:tcPr>
          <w:p>
            <w:pPr>
              <w:pStyle w:val="24"/>
              <w:bidi w:val="0"/>
              <w:rPr>
                <w:rFonts w:hint="default"/>
                <w:color w:val="auto"/>
                <w:lang w:val="en-US"/>
              </w:rPr>
            </w:pPr>
            <w:r>
              <w:rPr>
                <w:rFonts w:hint="eastAsia"/>
                <w:color w:val="auto"/>
                <w:lang w:val="en-US" w:eastAsia="zh-CN"/>
              </w:rPr>
              <w:t>结构构件系统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jc w:val="center"/>
        </w:trPr>
        <w:tc>
          <w:tcPr>
            <w:tcW w:w="778" w:type="pct"/>
            <w:vAlign w:val="center"/>
          </w:tcPr>
          <w:p>
            <w:pPr>
              <w:pStyle w:val="24"/>
              <w:bidi w:val="0"/>
              <w:rPr>
                <w:rFonts w:hint="eastAsia"/>
                <w:color w:val="auto"/>
              </w:rPr>
            </w:pPr>
            <w:r>
              <w:rPr>
                <w:rFonts w:hint="eastAsia"/>
                <w:color w:val="auto"/>
              </w:rPr>
              <w:t>等级</w:t>
            </w:r>
          </w:p>
        </w:tc>
        <w:tc>
          <w:tcPr>
            <w:tcW w:w="1029" w:type="pct"/>
            <w:tcBorders>
              <w:right w:val="single" w:color="auto" w:sz="4" w:space="0"/>
            </w:tcBorders>
            <w:vAlign w:val="center"/>
          </w:tcPr>
          <w:p>
            <w:pPr>
              <w:pStyle w:val="24"/>
              <w:bidi w:val="0"/>
              <w:rPr>
                <w:rFonts w:hint="default"/>
                <w:color w:val="auto"/>
                <w:lang w:val="en-US"/>
              </w:rPr>
            </w:pPr>
            <w:r>
              <w:rPr>
                <w:rFonts w:hint="eastAsia"/>
                <w:color w:val="auto"/>
                <w:lang w:val="en-US" w:eastAsia="zh-CN"/>
              </w:rPr>
              <w:t>A</w:t>
            </w:r>
            <w:r>
              <w:rPr>
                <w:rFonts w:hint="eastAsia"/>
                <w:color w:val="auto"/>
                <w:vertAlign w:val="subscript"/>
                <w:lang w:val="en-US" w:eastAsia="zh-CN"/>
              </w:rPr>
              <w:t>u</w:t>
            </w:r>
            <w:r>
              <w:rPr>
                <w:rFonts w:hint="eastAsia"/>
                <w:color w:val="auto"/>
              </w:rPr>
              <w:t>、</w:t>
            </w:r>
            <w:r>
              <w:rPr>
                <w:rFonts w:hint="eastAsia"/>
                <w:color w:val="auto"/>
                <w:lang w:val="en-US" w:eastAsia="zh-CN"/>
              </w:rPr>
              <w:t>B</w:t>
            </w:r>
            <w:r>
              <w:rPr>
                <w:rFonts w:hint="eastAsia"/>
                <w:color w:val="auto"/>
                <w:vertAlign w:val="subscript"/>
                <w:lang w:val="en-US" w:eastAsia="zh-CN"/>
              </w:rPr>
              <w:t>u</w:t>
            </w:r>
            <w:r>
              <w:rPr>
                <w:rFonts w:hint="eastAsia"/>
                <w:color w:val="auto"/>
              </w:rPr>
              <w:t>、</w:t>
            </w:r>
            <w:r>
              <w:rPr>
                <w:rFonts w:hint="eastAsia"/>
                <w:color w:val="auto"/>
                <w:lang w:val="en-US" w:eastAsia="zh-CN"/>
              </w:rPr>
              <w:t>C</w:t>
            </w:r>
            <w:r>
              <w:rPr>
                <w:rFonts w:hint="eastAsia"/>
                <w:color w:val="auto"/>
                <w:vertAlign w:val="subscript"/>
                <w:lang w:val="en-US" w:eastAsia="zh-CN"/>
              </w:rPr>
              <w:t>u</w:t>
            </w:r>
          </w:p>
        </w:tc>
        <w:tc>
          <w:tcPr>
            <w:tcW w:w="1011" w:type="pct"/>
            <w:tcBorders>
              <w:left w:val="single" w:color="auto" w:sz="4" w:space="0"/>
            </w:tcBorders>
            <w:vAlign w:val="center"/>
          </w:tcPr>
          <w:p>
            <w:pPr>
              <w:pStyle w:val="24"/>
              <w:bidi w:val="0"/>
              <w:rPr>
                <w:rFonts w:hint="default"/>
                <w:color w:val="auto"/>
                <w:lang w:val="en-US"/>
              </w:rPr>
            </w:pPr>
            <w:r>
              <w:rPr>
                <w:rFonts w:hint="eastAsia"/>
                <w:color w:val="auto"/>
              </w:rPr>
              <w:t>a</w:t>
            </w:r>
            <w:r>
              <w:rPr>
                <w:rFonts w:hint="eastAsia" w:hAnsi="Cambria Math" w:cs="宋体"/>
                <w:color w:val="auto"/>
                <w:kern w:val="0"/>
                <w:sz w:val="24"/>
                <w:szCs w:val="24"/>
                <w:vertAlign w:val="subscript"/>
                <w:lang w:val="en-US" w:eastAsia="zh-CN" w:bidi="ar"/>
              </w:rPr>
              <w:t>u</w:t>
            </w:r>
            <w:r>
              <w:rPr>
                <w:rFonts w:hint="eastAsia"/>
                <w:color w:val="auto"/>
              </w:rPr>
              <w:t>、b</w:t>
            </w:r>
            <w:r>
              <w:rPr>
                <w:rFonts w:hint="eastAsia" w:hAnsi="Cambria Math" w:cs="宋体"/>
                <w:color w:val="auto"/>
                <w:kern w:val="0"/>
                <w:sz w:val="24"/>
                <w:szCs w:val="24"/>
                <w:vertAlign w:val="subscript"/>
                <w:lang w:val="en-US" w:eastAsia="zh-CN" w:bidi="ar"/>
              </w:rPr>
              <w:t>u</w:t>
            </w:r>
            <w:r>
              <w:rPr>
                <w:rFonts w:hint="eastAsia"/>
                <w:color w:val="auto"/>
              </w:rPr>
              <w:t>、</w:t>
            </w:r>
            <w:r>
              <w:rPr>
                <w:rFonts w:hint="eastAsia"/>
                <w:color w:val="auto"/>
                <w:lang w:val="en-US" w:eastAsia="zh-CN"/>
              </w:rPr>
              <w:t>c</w:t>
            </w:r>
            <w:r>
              <w:rPr>
                <w:rFonts w:hint="eastAsia" w:hAnsi="Cambria Math" w:cs="宋体"/>
                <w:color w:val="auto"/>
                <w:kern w:val="0"/>
                <w:sz w:val="24"/>
                <w:szCs w:val="24"/>
                <w:vertAlign w:val="subscript"/>
                <w:lang w:val="en-US" w:eastAsia="zh-CN" w:bidi="ar"/>
              </w:rPr>
              <w:t>u</w:t>
            </w:r>
          </w:p>
        </w:tc>
        <w:tc>
          <w:tcPr>
            <w:tcW w:w="1087" w:type="pct"/>
            <w:vAlign w:val="center"/>
          </w:tcPr>
          <w:p>
            <w:pPr>
              <w:pStyle w:val="24"/>
              <w:bidi w:val="0"/>
              <w:rPr>
                <w:rFonts w:hint="eastAsia"/>
                <w:color w:val="auto"/>
                <w:lang w:val="en-US" w:eastAsia="zh-CN"/>
              </w:rPr>
            </w:pPr>
            <w:r>
              <w:rPr>
                <w:rFonts w:hint="eastAsia"/>
                <w:color w:val="auto"/>
                <w:lang w:val="en-US" w:eastAsia="zh-CN"/>
              </w:rPr>
              <w:t>A</w:t>
            </w:r>
            <w:r>
              <w:rPr>
                <w:rFonts w:hint="eastAsia"/>
                <w:color w:val="auto"/>
                <w:vertAlign w:val="subscript"/>
                <w:lang w:val="en-US" w:eastAsia="zh-CN"/>
              </w:rPr>
              <w:t>u</w:t>
            </w:r>
            <w:r>
              <w:rPr>
                <w:rFonts w:hint="eastAsia"/>
                <w:color w:val="auto"/>
              </w:rPr>
              <w:t>、</w:t>
            </w:r>
            <w:r>
              <w:rPr>
                <w:rFonts w:hint="eastAsia"/>
                <w:color w:val="auto"/>
                <w:lang w:val="en-US" w:eastAsia="zh-CN"/>
              </w:rPr>
              <w:t>B</w:t>
            </w:r>
            <w:r>
              <w:rPr>
                <w:rFonts w:hint="eastAsia"/>
                <w:color w:val="auto"/>
                <w:vertAlign w:val="subscript"/>
                <w:lang w:val="en-US" w:eastAsia="zh-CN"/>
              </w:rPr>
              <w:t>u</w:t>
            </w:r>
            <w:r>
              <w:rPr>
                <w:rFonts w:hint="eastAsia"/>
                <w:color w:val="auto"/>
              </w:rPr>
              <w:t>、</w:t>
            </w:r>
            <w:r>
              <w:rPr>
                <w:rFonts w:hint="eastAsia"/>
                <w:color w:val="auto"/>
                <w:lang w:val="en-US" w:eastAsia="zh-CN"/>
              </w:rPr>
              <w:t>C</w:t>
            </w:r>
            <w:r>
              <w:rPr>
                <w:rFonts w:hint="eastAsia"/>
                <w:color w:val="auto"/>
                <w:vertAlign w:val="subscript"/>
                <w:lang w:val="en-US" w:eastAsia="zh-CN"/>
              </w:rPr>
              <w:t>u</w:t>
            </w:r>
          </w:p>
        </w:tc>
        <w:tc>
          <w:tcPr>
            <w:tcW w:w="1093" w:type="pct"/>
            <w:vAlign w:val="center"/>
          </w:tcPr>
          <w:p>
            <w:pPr>
              <w:pStyle w:val="24"/>
              <w:bidi w:val="0"/>
              <w:rPr>
                <w:rFonts w:hint="default"/>
                <w:color w:val="auto"/>
                <w:lang w:val="en-US"/>
              </w:rPr>
            </w:pPr>
            <w:r>
              <w:rPr>
                <w:rFonts w:hint="eastAsia"/>
                <w:color w:val="auto"/>
                <w:lang w:val="en-US" w:eastAsia="zh-CN"/>
              </w:rPr>
              <w:t>A</w:t>
            </w:r>
            <w:r>
              <w:rPr>
                <w:rFonts w:hint="eastAsia"/>
                <w:color w:val="auto"/>
                <w:vertAlign w:val="subscript"/>
                <w:lang w:val="en-US" w:eastAsia="zh-CN"/>
              </w:rPr>
              <w:t>u</w:t>
            </w:r>
            <w:r>
              <w:rPr>
                <w:rFonts w:hint="eastAsia"/>
                <w:color w:val="auto"/>
              </w:rPr>
              <w:t>、</w:t>
            </w:r>
            <w:r>
              <w:rPr>
                <w:rFonts w:hint="eastAsia"/>
                <w:color w:val="auto"/>
                <w:lang w:val="en-US" w:eastAsia="zh-CN"/>
              </w:rPr>
              <w:t>B</w:t>
            </w:r>
            <w:r>
              <w:rPr>
                <w:rFonts w:hint="eastAsia"/>
                <w:color w:val="auto"/>
                <w:vertAlign w:val="subscript"/>
                <w:lang w:val="en-US" w:eastAsia="zh-CN"/>
              </w:rPr>
              <w:t>u</w:t>
            </w:r>
            <w:r>
              <w:rPr>
                <w:rFonts w:hint="eastAsia"/>
                <w:color w:val="auto"/>
              </w:rPr>
              <w:t>、</w:t>
            </w:r>
            <w:r>
              <w:rPr>
                <w:rFonts w:hint="eastAsia"/>
                <w:color w:val="auto"/>
                <w:lang w:val="en-US" w:eastAsia="zh-CN"/>
              </w:rPr>
              <w:t>C</w:t>
            </w:r>
            <w:r>
              <w:rPr>
                <w:rFonts w:hint="eastAsia"/>
                <w:color w:val="auto"/>
                <w:vertAlign w:val="subscript"/>
                <w:lang w:val="en-US" w:eastAsia="zh-CN"/>
              </w:rPr>
              <w:t>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1" w:hRule="atLeast"/>
          <w:jc w:val="center"/>
        </w:trPr>
        <w:tc>
          <w:tcPr>
            <w:tcW w:w="778" w:type="pct"/>
            <w:tcBorders>
              <w:top w:val="single" w:color="auto" w:sz="4" w:space="0"/>
              <w:bottom w:val="single" w:color="auto" w:sz="4" w:space="0"/>
            </w:tcBorders>
            <w:vAlign w:val="center"/>
          </w:tcPr>
          <w:p>
            <w:pPr>
              <w:pStyle w:val="24"/>
              <w:bidi w:val="0"/>
              <w:rPr>
                <w:rFonts w:hint="default"/>
                <w:color w:val="auto"/>
                <w:lang w:val="en-US" w:eastAsia="zh-CN"/>
              </w:rPr>
            </w:pPr>
            <w:r>
              <w:rPr>
                <w:rFonts w:hint="eastAsia"/>
                <w:color w:val="auto"/>
                <w:lang w:val="en-US" w:eastAsia="zh-CN"/>
              </w:rPr>
              <w:t>评级方法</w:t>
            </w:r>
          </w:p>
        </w:tc>
        <w:tc>
          <w:tcPr>
            <w:tcW w:w="1029" w:type="pct"/>
            <w:tcBorders>
              <w:right w:val="single" w:color="auto" w:sz="4" w:space="0"/>
            </w:tcBorders>
            <w:vAlign w:val="center"/>
          </w:tcPr>
          <w:p>
            <w:pPr>
              <w:pStyle w:val="24"/>
              <w:bidi w:val="0"/>
              <w:rPr>
                <w:rFonts w:hint="eastAsia"/>
                <w:color w:val="auto"/>
              </w:rPr>
            </w:pPr>
            <w:r>
              <w:rPr>
                <w:rFonts w:hint="eastAsia"/>
                <w:color w:val="auto"/>
                <w:lang w:val="en-US" w:eastAsia="zh-CN"/>
              </w:rPr>
              <w:t>根据各检查项目评定结果进行</w:t>
            </w:r>
            <w:r>
              <w:rPr>
                <w:rFonts w:hint="eastAsia"/>
                <w:color w:val="auto"/>
              </w:rPr>
              <w:t>评级</w:t>
            </w:r>
            <w:r>
              <w:rPr>
                <w:rFonts w:hint="eastAsia"/>
                <w:color w:val="auto"/>
                <w:lang w:eastAsia="zh-CN"/>
              </w:rPr>
              <w:t>　</w:t>
            </w:r>
          </w:p>
        </w:tc>
        <w:tc>
          <w:tcPr>
            <w:tcW w:w="1011" w:type="pct"/>
            <w:tcBorders>
              <w:left w:val="single" w:color="auto" w:sz="4" w:space="0"/>
            </w:tcBorders>
            <w:vAlign w:val="center"/>
          </w:tcPr>
          <w:p>
            <w:pPr>
              <w:pStyle w:val="24"/>
              <w:bidi w:val="0"/>
              <w:rPr>
                <w:rFonts w:hint="eastAsia"/>
                <w:color w:val="auto"/>
                <w:lang w:eastAsia="zh-CN"/>
              </w:rPr>
            </w:pPr>
            <w:r>
              <w:rPr>
                <w:rFonts w:hint="eastAsia"/>
                <w:color w:val="auto"/>
                <w:lang w:val="en-US" w:eastAsia="zh-CN"/>
              </w:rPr>
              <w:t>取各检查项目评级等级中最低等级</w:t>
            </w:r>
          </w:p>
        </w:tc>
        <w:tc>
          <w:tcPr>
            <w:tcW w:w="1087" w:type="pct"/>
            <w:vAlign w:val="center"/>
          </w:tcPr>
          <w:p>
            <w:pPr>
              <w:pStyle w:val="24"/>
              <w:bidi w:val="0"/>
              <w:rPr>
                <w:rFonts w:hint="eastAsia"/>
                <w:color w:val="auto"/>
                <w:lang w:eastAsia="zh-CN"/>
              </w:rPr>
            </w:pPr>
            <w:r>
              <w:rPr>
                <w:rFonts w:hint="eastAsia"/>
                <w:color w:val="auto"/>
                <w:lang w:val="en-US" w:eastAsia="zh-CN"/>
              </w:rPr>
              <w:t xml:space="preserve"> 根据不同级别构件含量进行楼层</w:t>
            </w:r>
            <w:r>
              <w:rPr>
                <w:rFonts w:hint="eastAsia"/>
                <w:color w:val="auto"/>
              </w:rPr>
              <w:t>评级</w:t>
            </w:r>
          </w:p>
        </w:tc>
        <w:tc>
          <w:tcPr>
            <w:tcW w:w="1093" w:type="pct"/>
            <w:tcBorders>
              <w:top w:val="single" w:color="auto" w:sz="4" w:space="0"/>
              <w:bottom w:val="single" w:color="auto" w:sz="4" w:space="0"/>
            </w:tcBorders>
            <w:vAlign w:val="center"/>
          </w:tcPr>
          <w:p>
            <w:pPr>
              <w:pStyle w:val="24"/>
              <w:bidi w:val="0"/>
              <w:rPr>
                <w:rFonts w:hint="default"/>
                <w:color w:val="auto"/>
                <w:lang w:val="en-US" w:eastAsia="zh-CN"/>
              </w:rPr>
            </w:pPr>
            <w:r>
              <w:rPr>
                <w:rFonts w:hint="eastAsia"/>
                <w:color w:val="auto"/>
                <w:lang w:val="en-US" w:eastAsia="zh-CN"/>
              </w:rPr>
              <w:t>取</w:t>
            </w:r>
            <w:r>
              <w:rPr>
                <w:rFonts w:hint="eastAsia"/>
                <w:color w:val="auto"/>
              </w:rPr>
              <w:t>上部结构</w:t>
            </w:r>
            <w:r>
              <w:rPr>
                <w:rFonts w:hint="eastAsia"/>
                <w:color w:val="auto"/>
                <w:lang w:val="en-US" w:eastAsia="zh-CN"/>
              </w:rPr>
              <w:t>楼层评级等级中最低等级</w:t>
            </w:r>
          </w:p>
        </w:tc>
      </w:tr>
    </w:tbl>
    <w:p>
      <w:pPr>
        <w:keepNext w:val="0"/>
        <w:keepLines w:val="0"/>
        <w:pageBreakBefore w:val="0"/>
        <w:widowControl/>
        <w:kinsoku w:val="0"/>
        <w:wordWrap/>
        <w:overflowPunct/>
        <w:topLinePunct w:val="0"/>
        <w:autoSpaceDE w:val="0"/>
        <w:autoSpaceDN w:val="0"/>
        <w:bidi w:val="0"/>
        <w:adjustRightInd w:val="0"/>
        <w:snapToGrid w:val="0"/>
        <w:spacing w:line="105" w:lineRule="exact"/>
        <w:ind w:right="0"/>
        <w:textAlignment w:val="baseline"/>
        <w:rPr>
          <w:rFonts w:hint="eastAsia" w:asciiTheme="minorEastAsia" w:hAnsiTheme="minorEastAsia" w:eastAsiaTheme="minorEastAsia" w:cstheme="minorEastAsia"/>
          <w:color w:val="auto"/>
          <w:sz w:val="24"/>
          <w:szCs w:val="24"/>
        </w:rPr>
      </w:pPr>
    </w:p>
    <w:p>
      <w:pPr>
        <w:pStyle w:val="28"/>
        <w:bidi w:val="0"/>
        <w:rPr>
          <w:rFonts w:hint="eastAsia"/>
          <w:color w:val="auto"/>
          <w:lang w:val="en-US" w:eastAsia="zh-CN"/>
        </w:rPr>
      </w:pPr>
      <w:r>
        <w:rPr>
          <w:rFonts w:hint="eastAsia"/>
          <w:color w:val="auto"/>
          <w:lang w:val="en-US" w:eastAsia="zh-CN"/>
        </w:rPr>
        <w:t>注：单个构件按《民用建筑可靠性鉴定标准》GB 50292附录B规定划分。</w:t>
      </w:r>
    </w:p>
    <w:p>
      <w:pPr>
        <w:pStyle w:val="36"/>
        <w:bidi w:val="0"/>
        <w:rPr>
          <w:rFonts w:hint="eastAsia"/>
          <w:color w:val="auto"/>
          <w:lang w:val="en-US" w:eastAsia="zh-CN"/>
        </w:rPr>
      </w:pPr>
      <w:r>
        <w:rPr>
          <w:rFonts w:hint="eastAsia"/>
          <w:color w:val="auto"/>
          <w:lang w:val="en-US" w:eastAsia="zh-CN"/>
        </w:rPr>
        <w:t>当仅要求鉴定结构构件系统中某层次、</w:t>
      </w:r>
      <w:r>
        <w:rPr>
          <w:rFonts w:hint="eastAsia" w:asciiTheme="minorEastAsia" w:hAnsiTheme="minorEastAsia" w:eastAsiaTheme="minorEastAsia" w:cstheme="minorEastAsia"/>
          <w:color w:val="auto"/>
          <w:sz w:val="24"/>
          <w:szCs w:val="24"/>
          <w:lang w:val="en-US" w:eastAsia="zh-CN"/>
        </w:rPr>
        <w:t>某一局部范围的楼层或构件</w:t>
      </w:r>
      <w:r>
        <w:rPr>
          <w:rFonts w:hint="eastAsia"/>
          <w:color w:val="auto"/>
          <w:lang w:val="en-US" w:eastAsia="zh-CN"/>
        </w:rPr>
        <w:t>的安全性时，鉴定评级工作可只进行到该层次或局部范围，并满足下列要求：</w:t>
      </w:r>
    </w:p>
    <w:p>
      <w:pPr>
        <w:pStyle w:val="37"/>
        <w:bidi w:val="0"/>
        <w:rPr>
          <w:rFonts w:hint="eastAsia"/>
          <w:color w:val="auto"/>
          <w:lang w:val="en-US" w:eastAsia="zh-CN"/>
        </w:rPr>
      </w:pPr>
      <w:r>
        <w:rPr>
          <w:rFonts w:hint="eastAsia"/>
          <w:color w:val="auto"/>
          <w:lang w:val="en-US" w:eastAsia="zh-CN"/>
        </w:rPr>
        <w:t>应进行第一级鉴定；</w:t>
      </w:r>
    </w:p>
    <w:p>
      <w:pPr>
        <w:pStyle w:val="37"/>
        <w:bidi w:val="0"/>
        <w:rPr>
          <w:rFonts w:hint="eastAsia"/>
          <w:color w:val="auto"/>
          <w:lang w:val="en-US" w:eastAsia="zh-CN"/>
        </w:rPr>
      </w:pPr>
      <w:r>
        <w:rPr>
          <w:rFonts w:hint="eastAsia"/>
          <w:color w:val="auto"/>
          <w:lang w:val="en-US" w:eastAsia="zh-CN"/>
        </w:rPr>
        <w:t>局部楼层安全性鉴定时，</w:t>
      </w:r>
      <w:r>
        <w:rPr>
          <w:rFonts w:hint="eastAsia"/>
          <w:color w:val="auto"/>
        </w:rPr>
        <w:t>与其相邻</w:t>
      </w:r>
      <w:r>
        <w:rPr>
          <w:rFonts w:hint="eastAsia"/>
          <w:color w:val="auto"/>
          <w:lang w:val="en-US" w:eastAsia="zh-CN"/>
        </w:rPr>
        <w:t>楼层</w:t>
      </w:r>
      <w:r>
        <w:rPr>
          <w:rFonts w:hint="eastAsia"/>
          <w:color w:val="auto"/>
        </w:rPr>
        <w:t>之间的</w:t>
      </w:r>
      <w:r>
        <w:rPr>
          <w:rFonts w:hint="eastAsia"/>
          <w:color w:val="auto"/>
          <w:lang w:val="en-US" w:eastAsia="zh-CN"/>
        </w:rPr>
        <w:t>连接</w:t>
      </w:r>
      <w:r>
        <w:rPr>
          <w:rFonts w:hint="eastAsia"/>
          <w:color w:val="auto"/>
        </w:rPr>
        <w:t>部位</w:t>
      </w:r>
      <w:r>
        <w:rPr>
          <w:rFonts w:hint="eastAsia"/>
          <w:color w:val="auto"/>
          <w:lang w:val="en-US" w:eastAsia="zh-CN"/>
        </w:rPr>
        <w:t>也应</w:t>
      </w:r>
      <w:r>
        <w:rPr>
          <w:rFonts w:hint="eastAsia"/>
          <w:color w:val="auto"/>
        </w:rPr>
        <w:t>进行</w:t>
      </w:r>
      <w:r>
        <w:rPr>
          <w:rFonts w:hint="eastAsia"/>
          <w:color w:val="auto"/>
          <w:lang w:val="en-US" w:eastAsia="zh-CN"/>
        </w:rPr>
        <w:t>鉴定；</w:t>
      </w:r>
    </w:p>
    <w:p>
      <w:pPr>
        <w:pStyle w:val="37"/>
        <w:bidi w:val="0"/>
        <w:rPr>
          <w:rFonts w:hint="eastAsia"/>
          <w:color w:val="auto"/>
          <w:lang w:val="en-US" w:eastAsia="zh-CN"/>
        </w:rPr>
      </w:pPr>
      <w:r>
        <w:rPr>
          <w:rFonts w:hint="eastAsia"/>
          <w:color w:val="auto"/>
          <w:lang w:val="en-US" w:eastAsia="zh-CN"/>
        </w:rPr>
        <w:t>楼层中局部范围构件安全性鉴定时，</w:t>
      </w:r>
      <w:r>
        <w:rPr>
          <w:rFonts w:hint="eastAsia"/>
          <w:color w:val="auto"/>
        </w:rPr>
        <w:t>与其</w:t>
      </w:r>
      <w:r>
        <w:rPr>
          <w:rFonts w:hint="eastAsia"/>
          <w:color w:val="auto"/>
          <w:lang w:val="en-US" w:eastAsia="zh-CN"/>
        </w:rPr>
        <w:t>相邻区域</w:t>
      </w:r>
      <w:r>
        <w:rPr>
          <w:rFonts w:hint="eastAsia"/>
          <w:color w:val="auto"/>
        </w:rPr>
        <w:t>之间的</w:t>
      </w:r>
      <w:r>
        <w:rPr>
          <w:rFonts w:hint="eastAsia"/>
          <w:color w:val="auto"/>
          <w:lang w:val="en-US" w:eastAsia="zh-CN"/>
        </w:rPr>
        <w:t>连接</w:t>
      </w:r>
      <w:r>
        <w:rPr>
          <w:rFonts w:hint="eastAsia"/>
          <w:color w:val="auto"/>
        </w:rPr>
        <w:t>部位</w:t>
      </w:r>
      <w:r>
        <w:rPr>
          <w:rFonts w:hint="eastAsia"/>
          <w:color w:val="auto"/>
          <w:lang w:val="en-US" w:eastAsia="zh-CN"/>
        </w:rPr>
        <w:t>或构件</w:t>
      </w:r>
      <w:r>
        <w:rPr>
          <w:rFonts w:hint="eastAsia"/>
          <w:color w:val="auto"/>
        </w:rPr>
        <w:t>也应进行</w:t>
      </w:r>
      <w:r>
        <w:rPr>
          <w:rFonts w:hint="eastAsia"/>
          <w:color w:val="auto"/>
          <w:lang w:val="en-US" w:eastAsia="zh-CN"/>
        </w:rPr>
        <w:t>鉴定。</w:t>
      </w:r>
    </w:p>
    <w:p>
      <w:pPr>
        <w:pStyle w:val="36"/>
        <w:bidi w:val="0"/>
        <w:rPr>
          <w:rFonts w:hint="eastAsia" w:ascii="黑体" w:hAnsi="黑体" w:eastAsia="黑体" w:cs="黑体"/>
          <w:color w:val="auto"/>
          <w:sz w:val="21"/>
          <w:szCs w:val="21"/>
          <w:lang w:val="en-US" w:eastAsia="zh-CN"/>
        </w:rPr>
      </w:pPr>
      <w:r>
        <w:rPr>
          <w:rFonts w:hint="eastAsia" w:ascii="宋体" w:hAnsi="宋体" w:cs="宋体"/>
          <w:color w:val="auto"/>
          <w:kern w:val="0"/>
          <w:sz w:val="24"/>
          <w:szCs w:val="24"/>
          <w:lang w:val="en-US" w:eastAsia="zh-CN" w:bidi="ar"/>
        </w:rPr>
        <w:t>围护构件评级</w:t>
      </w:r>
      <w:r>
        <w:rPr>
          <w:rFonts w:hint="eastAsia" w:ascii="宋体" w:hAnsi="宋体" w:eastAsia="宋体" w:cs="宋体"/>
          <w:color w:val="auto"/>
          <w:kern w:val="0"/>
          <w:sz w:val="24"/>
          <w:szCs w:val="24"/>
          <w:lang w:val="en-US" w:eastAsia="zh-CN" w:bidi="ar"/>
        </w:rPr>
        <w:t>应按表</w:t>
      </w: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color w:val="auto"/>
          <w:kern w:val="0"/>
          <w:sz w:val="24"/>
          <w:szCs w:val="24"/>
          <w:lang w:val="en-US" w:eastAsia="zh-CN" w:bidi="ar"/>
        </w:rPr>
        <w:instrText xml:space="preserve"> REF _Ref10814 \n \h </w:instrText>
      </w:r>
      <w:r>
        <w:rPr>
          <w:rFonts w:hint="eastAsia" w:ascii="宋体" w:hAnsi="宋体" w:eastAsia="宋体" w:cs="宋体"/>
          <w:color w:val="auto"/>
          <w:kern w:val="0"/>
          <w:sz w:val="24"/>
          <w:szCs w:val="24"/>
          <w:lang w:val="en-US" w:eastAsia="zh-CN" w:bidi="ar"/>
        </w:rPr>
        <w:fldChar w:fldCharType="separate"/>
      </w:r>
      <w:r>
        <w:rPr>
          <w:rFonts w:hint="eastAsia" w:ascii="宋体" w:hAnsi="宋体" w:eastAsia="宋体" w:cs="宋体"/>
          <w:color w:val="auto"/>
          <w:kern w:val="0"/>
          <w:sz w:val="24"/>
          <w:szCs w:val="24"/>
          <w:lang w:val="en-US" w:eastAsia="zh-CN" w:bidi="ar"/>
        </w:rPr>
        <w:t>6.6.5</w:t>
      </w:r>
      <w:r>
        <w:rPr>
          <w:rFonts w:hint="eastAsia" w:ascii="宋体" w:hAnsi="宋体" w:eastAsia="宋体" w:cs="宋体"/>
          <w:color w:val="auto"/>
          <w:kern w:val="0"/>
          <w:sz w:val="24"/>
          <w:szCs w:val="24"/>
          <w:lang w:val="en-US" w:eastAsia="zh-CN" w:bidi="ar"/>
        </w:rPr>
        <w:fldChar w:fldCharType="end"/>
      </w:r>
      <w:r>
        <w:rPr>
          <w:rFonts w:hint="eastAsia" w:ascii="宋体" w:hAnsi="宋体" w:cs="宋体"/>
          <w:color w:val="auto"/>
          <w:kern w:val="0"/>
          <w:sz w:val="24"/>
          <w:szCs w:val="24"/>
          <w:lang w:val="en-US" w:eastAsia="zh-CN" w:bidi="ar"/>
        </w:rPr>
        <w:t>-4</w:t>
      </w:r>
      <w:r>
        <w:rPr>
          <w:rFonts w:hint="eastAsia" w:ascii="宋体" w:hAnsi="宋体" w:eastAsia="宋体" w:cs="宋体"/>
          <w:color w:val="auto"/>
          <w:kern w:val="0"/>
          <w:sz w:val="24"/>
          <w:szCs w:val="24"/>
          <w:lang w:val="en-US" w:eastAsia="zh-CN" w:bidi="ar"/>
        </w:rPr>
        <w:t>规定</w:t>
      </w:r>
      <w:r>
        <w:rPr>
          <w:rFonts w:hint="eastAsia" w:ascii="宋体" w:hAnsi="宋体" w:cs="宋体"/>
          <w:color w:val="auto"/>
          <w:kern w:val="0"/>
          <w:sz w:val="24"/>
          <w:szCs w:val="24"/>
          <w:lang w:val="en-US" w:eastAsia="zh-CN" w:bidi="ar"/>
        </w:rPr>
        <w:t>进行。</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_Ref10814 \n \h </w:instrText>
      </w:r>
      <w:r>
        <w:rPr>
          <w:rFonts w:hint="eastAsia"/>
          <w:color w:val="auto"/>
          <w:lang w:val="en-US" w:eastAsia="zh-CN"/>
        </w:rPr>
        <w:fldChar w:fldCharType="separate"/>
      </w:r>
      <w:r>
        <w:rPr>
          <w:rFonts w:hint="eastAsia"/>
          <w:color w:val="auto"/>
          <w:lang w:val="en-US" w:eastAsia="zh-CN"/>
        </w:rPr>
        <w:t>6.6.5</w:t>
      </w:r>
      <w:r>
        <w:rPr>
          <w:rFonts w:hint="eastAsia"/>
          <w:color w:val="auto"/>
          <w:lang w:val="en-US" w:eastAsia="zh-CN"/>
        </w:rPr>
        <w:fldChar w:fldCharType="end"/>
      </w:r>
      <w:r>
        <w:rPr>
          <w:rFonts w:hint="eastAsia"/>
          <w:color w:val="auto"/>
          <w:lang w:val="en-US" w:eastAsia="zh-CN"/>
        </w:rPr>
        <w:t>-4 围护构件鉴定评级步骤和方法</w:t>
      </w:r>
    </w:p>
    <w:tbl>
      <w:tblPr>
        <w:tblStyle w:val="27"/>
        <w:tblW w:w="500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1"/>
        <w:gridCol w:w="3868"/>
        <w:gridCol w:w="2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100" w:type="pct"/>
            <w:vAlign w:val="center"/>
          </w:tcPr>
          <w:p>
            <w:pPr>
              <w:pStyle w:val="24"/>
              <w:bidi w:val="0"/>
              <w:jc w:val="center"/>
              <w:rPr>
                <w:rFonts w:hint="eastAsia"/>
                <w:color w:val="auto"/>
              </w:rPr>
            </w:pPr>
            <w:r>
              <w:rPr>
                <w:rFonts w:hint="eastAsia"/>
                <w:color w:val="auto"/>
              </w:rPr>
              <w:t>等级</w:t>
            </w:r>
          </w:p>
        </w:tc>
        <w:tc>
          <w:tcPr>
            <w:tcW w:w="3899" w:type="pct"/>
            <w:gridSpan w:val="2"/>
            <w:vAlign w:val="center"/>
          </w:tcPr>
          <w:p>
            <w:pPr>
              <w:pStyle w:val="24"/>
              <w:bidi w:val="0"/>
              <w:jc w:val="center"/>
              <w:rPr>
                <w:rFonts w:hint="default"/>
                <w:color w:val="auto"/>
                <w:lang w:val="en-US"/>
              </w:rPr>
            </w:pPr>
            <w:r>
              <w:rPr>
                <w:rFonts w:hint="eastAsia"/>
                <w:color w:val="auto"/>
                <w:lang w:val="en-US" w:eastAsia="zh-CN"/>
              </w:rPr>
              <w:t>au</w:t>
            </w:r>
            <w:r>
              <w:rPr>
                <w:rFonts w:hint="eastAsia"/>
                <w:color w:val="auto"/>
              </w:rPr>
              <w:t>、</w:t>
            </w:r>
            <w:r>
              <w:rPr>
                <w:rFonts w:hint="eastAsia"/>
                <w:color w:val="auto"/>
                <w:lang w:val="en-US" w:eastAsia="zh-CN"/>
              </w:rPr>
              <w:t>bu</w:t>
            </w:r>
            <w:r>
              <w:rPr>
                <w:rFonts w:hint="eastAsia"/>
                <w:color w:val="auto"/>
              </w:rPr>
              <w:t>、</w:t>
            </w:r>
            <w:r>
              <w:rPr>
                <w:rFonts w:hint="eastAsia"/>
                <w:color w:val="auto"/>
                <w:lang w:val="en-US" w:eastAsia="zh-CN"/>
              </w:rPr>
              <w:t>cu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100" w:type="pct"/>
            <w:vMerge w:val="restart"/>
            <w:vAlign w:val="center"/>
          </w:tcPr>
          <w:p>
            <w:pPr>
              <w:pStyle w:val="24"/>
              <w:bidi w:val="0"/>
              <w:jc w:val="center"/>
              <w:rPr>
                <w:rFonts w:hint="default"/>
                <w:color w:val="auto"/>
                <w:lang w:val="en-US"/>
              </w:rPr>
            </w:pPr>
            <w:r>
              <w:rPr>
                <w:rFonts w:hint="eastAsia"/>
                <w:color w:val="auto"/>
                <w:lang w:val="en-US" w:eastAsia="zh-CN"/>
              </w:rPr>
              <w:t>围护构件鉴定项目</w:t>
            </w:r>
          </w:p>
        </w:tc>
        <w:tc>
          <w:tcPr>
            <w:tcW w:w="2323" w:type="pct"/>
            <w:tcBorders>
              <w:bottom w:val="single" w:color="auto" w:sz="4" w:space="0"/>
              <w:right w:val="single" w:color="auto" w:sz="4" w:space="0"/>
            </w:tcBorders>
            <w:vAlign w:val="center"/>
          </w:tcPr>
          <w:p>
            <w:pPr>
              <w:pStyle w:val="24"/>
              <w:bidi w:val="0"/>
              <w:rPr>
                <w:rFonts w:hint="eastAsia"/>
                <w:color w:val="auto"/>
              </w:rPr>
            </w:pPr>
            <w:r>
              <w:rPr>
                <w:rFonts w:hint="eastAsia"/>
                <w:color w:val="auto"/>
                <w:lang w:val="en-US" w:eastAsia="zh-CN"/>
              </w:rPr>
              <w:t>检查项目（构件、构件连接）</w:t>
            </w:r>
          </w:p>
        </w:tc>
        <w:tc>
          <w:tcPr>
            <w:tcW w:w="1576" w:type="pct"/>
            <w:vMerge w:val="restart"/>
            <w:tcBorders>
              <w:left w:val="single" w:color="auto" w:sz="4" w:space="0"/>
            </w:tcBorders>
            <w:vAlign w:val="center"/>
          </w:tcPr>
          <w:p>
            <w:pPr>
              <w:pStyle w:val="24"/>
              <w:bidi w:val="0"/>
              <w:jc w:val="left"/>
              <w:rPr>
                <w:rFonts w:hint="eastAsia" w:eastAsia="宋体"/>
                <w:color w:val="auto"/>
                <w:lang w:val="en-US" w:eastAsia="zh-CN"/>
              </w:rPr>
            </w:pPr>
            <w:r>
              <w:rPr>
                <w:rFonts w:hint="eastAsia"/>
                <w:color w:val="auto"/>
                <w:lang w:val="en-US" w:eastAsia="zh-CN"/>
              </w:rPr>
              <w:t>取构件、构件连接评级等级中最低等级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1100" w:type="pct"/>
            <w:vMerge w:val="continue"/>
            <w:vAlign w:val="center"/>
          </w:tcPr>
          <w:p>
            <w:pPr>
              <w:pStyle w:val="24"/>
              <w:bidi w:val="0"/>
              <w:jc w:val="center"/>
              <w:rPr>
                <w:rFonts w:hint="eastAsia"/>
                <w:color w:val="auto"/>
              </w:rPr>
            </w:pPr>
          </w:p>
        </w:tc>
        <w:tc>
          <w:tcPr>
            <w:tcW w:w="2323" w:type="pct"/>
            <w:tcBorders>
              <w:top w:val="single" w:color="auto" w:sz="4" w:space="0"/>
              <w:right w:val="single" w:color="auto" w:sz="4" w:space="0"/>
            </w:tcBorders>
            <w:vAlign w:val="center"/>
          </w:tcPr>
          <w:p>
            <w:pPr>
              <w:pStyle w:val="24"/>
              <w:bidi w:val="0"/>
              <w:rPr>
                <w:rFonts w:hint="default"/>
                <w:color w:val="auto"/>
                <w:lang w:val="en-US" w:eastAsia="zh-CN"/>
              </w:rPr>
            </w:pPr>
            <w:r>
              <w:rPr>
                <w:rFonts w:hint="eastAsia"/>
                <w:color w:val="auto"/>
                <w:lang w:val="en-US" w:eastAsia="zh-CN"/>
              </w:rPr>
              <w:t>验算项目（构件、构件连接）</w:t>
            </w:r>
          </w:p>
        </w:tc>
        <w:tc>
          <w:tcPr>
            <w:tcW w:w="1576" w:type="pct"/>
            <w:vMerge w:val="continue"/>
            <w:tcBorders>
              <w:left w:val="single" w:color="auto" w:sz="4" w:space="0"/>
            </w:tcBorders>
            <w:vAlign w:val="center"/>
          </w:tcPr>
          <w:p>
            <w:pPr>
              <w:pStyle w:val="24"/>
              <w:bidi w:val="0"/>
              <w:jc w:val="center"/>
              <w:rPr>
                <w:rFonts w:hint="eastAsia"/>
                <w:color w:val="auto"/>
                <w:lang w:val="en-US" w:eastAsia="zh-CN"/>
              </w:rPr>
            </w:pPr>
          </w:p>
        </w:tc>
      </w:tr>
    </w:tbl>
    <w:p>
      <w:pPr>
        <w:pStyle w:val="36"/>
        <w:bidi w:val="0"/>
        <w:rPr>
          <w:rFonts w:hint="eastAsia" w:asciiTheme="minorEastAsia" w:hAnsiTheme="minorEastAsia" w:eastAsiaTheme="minorEastAsia" w:cstheme="minorEastAsia"/>
          <w:color w:val="auto"/>
          <w:sz w:val="24"/>
          <w:szCs w:val="24"/>
          <w:lang w:val="en-US" w:eastAsia="zh-CN"/>
        </w:rPr>
      </w:pPr>
      <w:r>
        <w:rPr>
          <w:rFonts w:hint="eastAsia" w:ascii="宋体" w:hAnsi="宋体" w:cs="宋体"/>
          <w:color w:val="auto"/>
          <w:kern w:val="0"/>
          <w:sz w:val="24"/>
          <w:szCs w:val="24"/>
          <w:lang w:val="en-US" w:eastAsia="zh-CN" w:bidi="ar"/>
        </w:rPr>
        <w:t>建筑整体鉴定评级</w:t>
      </w:r>
      <w:r>
        <w:rPr>
          <w:rFonts w:hint="eastAsia" w:ascii="宋体" w:hAnsi="宋体" w:eastAsia="宋体" w:cs="宋体"/>
          <w:color w:val="auto"/>
          <w:kern w:val="0"/>
          <w:sz w:val="24"/>
          <w:szCs w:val="24"/>
          <w:lang w:val="en-US" w:eastAsia="zh-CN" w:bidi="ar"/>
        </w:rPr>
        <w:t>应按表</w:t>
      </w:r>
      <w:r>
        <w:rPr>
          <w:rFonts w:hint="eastAsia" w:ascii="宋体" w:hAnsi="宋体" w:eastAsia="宋体" w:cs="宋体"/>
          <w:color w:val="auto"/>
          <w:kern w:val="0"/>
          <w:sz w:val="24"/>
          <w:szCs w:val="24"/>
          <w:lang w:val="en-US" w:eastAsia="zh-CN" w:bidi="ar"/>
        </w:rPr>
        <w:fldChar w:fldCharType="begin"/>
      </w:r>
      <w:r>
        <w:rPr>
          <w:rFonts w:hint="eastAsia" w:ascii="宋体" w:hAnsi="宋体" w:eastAsia="宋体" w:cs="宋体"/>
          <w:color w:val="auto"/>
          <w:kern w:val="0"/>
          <w:sz w:val="24"/>
          <w:szCs w:val="24"/>
          <w:lang w:val="en-US" w:eastAsia="zh-CN" w:bidi="ar"/>
        </w:rPr>
        <w:instrText xml:space="preserve"> REF _Ref10814 \n \h </w:instrText>
      </w:r>
      <w:r>
        <w:rPr>
          <w:rFonts w:hint="eastAsia" w:ascii="宋体" w:hAnsi="宋体" w:eastAsia="宋体" w:cs="宋体"/>
          <w:color w:val="auto"/>
          <w:kern w:val="0"/>
          <w:sz w:val="24"/>
          <w:szCs w:val="24"/>
          <w:lang w:val="en-US" w:eastAsia="zh-CN" w:bidi="ar"/>
        </w:rPr>
        <w:fldChar w:fldCharType="separate"/>
      </w:r>
      <w:r>
        <w:rPr>
          <w:rFonts w:hint="eastAsia" w:ascii="宋体" w:hAnsi="宋体" w:eastAsia="宋体" w:cs="宋体"/>
          <w:color w:val="auto"/>
          <w:kern w:val="0"/>
          <w:sz w:val="24"/>
          <w:szCs w:val="24"/>
          <w:lang w:val="en-US" w:eastAsia="zh-CN" w:bidi="ar"/>
        </w:rPr>
        <w:t>6.6.5</w:t>
      </w:r>
      <w:r>
        <w:rPr>
          <w:rFonts w:hint="eastAsia" w:ascii="宋体" w:hAnsi="宋体" w:eastAsia="宋体" w:cs="宋体"/>
          <w:color w:val="auto"/>
          <w:kern w:val="0"/>
          <w:sz w:val="24"/>
          <w:szCs w:val="24"/>
          <w:lang w:val="en-US" w:eastAsia="zh-CN" w:bidi="ar"/>
        </w:rPr>
        <w:fldChar w:fldCharType="end"/>
      </w:r>
      <w:r>
        <w:rPr>
          <w:rFonts w:hint="eastAsia" w:ascii="宋体" w:hAnsi="宋体" w:cs="宋体"/>
          <w:color w:val="auto"/>
          <w:kern w:val="0"/>
          <w:sz w:val="24"/>
          <w:szCs w:val="24"/>
          <w:lang w:val="en-US" w:eastAsia="zh-CN" w:bidi="ar"/>
        </w:rPr>
        <w:t>-5</w:t>
      </w:r>
      <w:r>
        <w:rPr>
          <w:rFonts w:hint="eastAsia" w:ascii="宋体" w:hAnsi="宋体" w:eastAsia="宋体" w:cs="宋体"/>
          <w:color w:val="auto"/>
          <w:kern w:val="0"/>
          <w:sz w:val="24"/>
          <w:szCs w:val="24"/>
          <w:lang w:val="en-US" w:eastAsia="zh-CN" w:bidi="ar"/>
        </w:rPr>
        <w:t>规定</w:t>
      </w:r>
      <w:r>
        <w:rPr>
          <w:rFonts w:hint="eastAsia" w:ascii="宋体" w:hAnsi="宋体" w:cs="宋体"/>
          <w:color w:val="auto"/>
          <w:kern w:val="0"/>
          <w:sz w:val="24"/>
          <w:szCs w:val="24"/>
          <w:lang w:val="en-US" w:eastAsia="zh-CN" w:bidi="ar"/>
        </w:rPr>
        <w:t>进行。</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_Ref10814 \n \h </w:instrText>
      </w:r>
      <w:r>
        <w:rPr>
          <w:rFonts w:hint="eastAsia"/>
          <w:color w:val="auto"/>
          <w:lang w:val="en-US" w:eastAsia="zh-CN"/>
        </w:rPr>
        <w:fldChar w:fldCharType="separate"/>
      </w:r>
      <w:r>
        <w:rPr>
          <w:rFonts w:hint="eastAsia"/>
          <w:color w:val="auto"/>
          <w:lang w:val="en-US" w:eastAsia="zh-CN"/>
        </w:rPr>
        <w:t>6.6.5</w:t>
      </w:r>
      <w:r>
        <w:rPr>
          <w:rFonts w:hint="eastAsia"/>
          <w:color w:val="auto"/>
          <w:lang w:val="en-US" w:eastAsia="zh-CN"/>
        </w:rPr>
        <w:fldChar w:fldCharType="end"/>
      </w:r>
      <w:r>
        <w:rPr>
          <w:rFonts w:hint="eastAsia"/>
          <w:color w:val="auto"/>
          <w:lang w:val="en-US" w:eastAsia="zh-CN"/>
        </w:rPr>
        <w:t>-5 建筑整体鉴定评级步骤和方法</w:t>
      </w:r>
    </w:p>
    <w:tbl>
      <w:tblPr>
        <w:tblStyle w:val="27"/>
        <w:tblW w:w="500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1"/>
        <w:gridCol w:w="3868"/>
        <w:gridCol w:w="2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100" w:type="pct"/>
            <w:vAlign w:val="center"/>
          </w:tcPr>
          <w:p>
            <w:pPr>
              <w:pStyle w:val="24"/>
              <w:bidi w:val="0"/>
              <w:jc w:val="center"/>
              <w:rPr>
                <w:rFonts w:hint="eastAsia"/>
                <w:color w:val="auto"/>
              </w:rPr>
            </w:pPr>
            <w:r>
              <w:rPr>
                <w:rFonts w:hint="eastAsia"/>
                <w:color w:val="auto"/>
              </w:rPr>
              <w:t>等级</w:t>
            </w:r>
          </w:p>
        </w:tc>
        <w:tc>
          <w:tcPr>
            <w:tcW w:w="3899" w:type="pct"/>
            <w:gridSpan w:val="2"/>
            <w:vAlign w:val="center"/>
          </w:tcPr>
          <w:p>
            <w:pPr>
              <w:pStyle w:val="24"/>
              <w:bidi w:val="0"/>
              <w:jc w:val="center"/>
              <w:rPr>
                <w:rFonts w:hint="eastAsia"/>
                <w:color w:val="auto"/>
              </w:rPr>
            </w:pPr>
            <w:r>
              <w:rPr>
                <w:rFonts w:hint="eastAsia" w:cs="Times New Roman"/>
                <w:i w:val="0"/>
                <w:color w:val="auto"/>
                <w:kern w:val="0"/>
                <w:sz w:val="24"/>
                <w:szCs w:val="24"/>
                <w:vertAlign w:val="baseline"/>
                <w:lang w:val="en-US" w:eastAsia="zh-CN" w:bidi="ar"/>
              </w:rPr>
              <w:t>A</w:t>
            </w:r>
            <w:r>
              <w:rPr>
                <w:rFonts w:hint="default" w:ascii="Times New Roman" w:hAnsi="Times New Roman" w:cs="Times New Roman"/>
                <w:i w:val="0"/>
                <w:color w:val="auto"/>
                <w:kern w:val="0"/>
                <w:sz w:val="24"/>
                <w:szCs w:val="24"/>
                <w:vertAlign w:val="subscript"/>
                <w:lang w:val="en-US" w:eastAsia="zh-CN" w:bidi="ar"/>
              </w:rPr>
              <w:t>su</w:t>
            </w:r>
            <w:r>
              <w:rPr>
                <w:rFonts w:hint="eastAsia"/>
                <w:color w:val="auto"/>
              </w:rPr>
              <w:t>、</w:t>
            </w:r>
            <w:r>
              <w:rPr>
                <w:rFonts w:hint="eastAsia" w:ascii="宋体" w:hAnsi="宋体" w:cs="宋体"/>
                <w:color w:val="auto"/>
                <w:kern w:val="0"/>
                <w:sz w:val="24"/>
                <w:szCs w:val="24"/>
                <w:lang w:val="en-US" w:eastAsia="zh-CN" w:bidi="ar"/>
              </w:rPr>
              <w:t>B</w:t>
            </w:r>
            <w:r>
              <w:rPr>
                <w:rFonts w:hint="default" w:ascii="Times New Roman" w:hAnsi="Times New Roman" w:cs="Times New Roman"/>
                <w:i w:val="0"/>
                <w:color w:val="auto"/>
                <w:kern w:val="0"/>
                <w:sz w:val="24"/>
                <w:szCs w:val="24"/>
                <w:vertAlign w:val="subscript"/>
                <w:lang w:val="en-US" w:eastAsia="zh-CN" w:bidi="ar"/>
              </w:rPr>
              <w:t>su</w:t>
            </w:r>
            <w:r>
              <w:rPr>
                <w:rFonts w:hint="eastAsia"/>
                <w:color w:val="auto"/>
              </w:rPr>
              <w:t>、</w:t>
            </w: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1100" w:type="pct"/>
            <w:vMerge w:val="restart"/>
            <w:vAlign w:val="center"/>
          </w:tcPr>
          <w:p>
            <w:pPr>
              <w:pStyle w:val="24"/>
              <w:bidi w:val="0"/>
              <w:jc w:val="center"/>
              <w:rPr>
                <w:rFonts w:hint="default" w:eastAsia="宋体"/>
                <w:color w:val="auto"/>
                <w:lang w:val="en-US" w:eastAsia="zh-CN"/>
              </w:rPr>
            </w:pPr>
            <w:r>
              <w:rPr>
                <w:rFonts w:hint="eastAsia"/>
                <w:color w:val="auto"/>
                <w:lang w:val="en-US" w:eastAsia="zh-CN"/>
              </w:rPr>
              <w:t>建筑整体鉴定评级</w:t>
            </w:r>
          </w:p>
        </w:tc>
        <w:tc>
          <w:tcPr>
            <w:tcW w:w="2323" w:type="pct"/>
            <w:tcBorders>
              <w:bottom w:val="single" w:color="auto" w:sz="4" w:space="0"/>
              <w:right w:val="single" w:color="auto" w:sz="4" w:space="0"/>
            </w:tcBorders>
            <w:vAlign w:val="center"/>
          </w:tcPr>
          <w:p>
            <w:pPr>
              <w:pStyle w:val="24"/>
              <w:bidi w:val="0"/>
              <w:jc w:val="center"/>
              <w:rPr>
                <w:rFonts w:hint="default"/>
                <w:color w:val="auto"/>
                <w:lang w:val="en-US"/>
              </w:rPr>
            </w:pPr>
            <w:r>
              <w:rPr>
                <w:rFonts w:hint="eastAsia"/>
                <w:color w:val="auto"/>
                <w:lang w:val="en-US" w:eastAsia="zh-CN"/>
              </w:rPr>
              <w:t>地基基础鉴定</w:t>
            </w:r>
            <w:r>
              <w:rPr>
                <w:rFonts w:hint="eastAsia"/>
                <w:color w:val="auto"/>
              </w:rPr>
              <w:t>评级</w:t>
            </w:r>
          </w:p>
        </w:tc>
        <w:tc>
          <w:tcPr>
            <w:tcW w:w="1576" w:type="pct"/>
            <w:vMerge w:val="restart"/>
            <w:tcBorders>
              <w:left w:val="single" w:color="auto" w:sz="4" w:space="0"/>
            </w:tcBorders>
            <w:vAlign w:val="center"/>
          </w:tcPr>
          <w:p>
            <w:pPr>
              <w:pStyle w:val="24"/>
              <w:bidi w:val="0"/>
              <w:jc w:val="left"/>
              <w:rPr>
                <w:rFonts w:hint="eastAsia" w:eastAsia="宋体"/>
                <w:color w:val="auto"/>
                <w:lang w:val="en-US" w:eastAsia="zh-CN"/>
              </w:rPr>
            </w:pPr>
            <w:r>
              <w:rPr>
                <w:rFonts w:hint="eastAsia"/>
                <w:color w:val="auto"/>
                <w:lang w:val="en-US" w:eastAsia="zh-CN"/>
              </w:rPr>
              <w:t>地基基础鉴定评级为C</w:t>
            </w:r>
            <w:r>
              <w:rPr>
                <w:rFonts w:hint="eastAsia"/>
                <w:color w:val="auto"/>
                <w:vertAlign w:val="subscript"/>
                <w:lang w:val="en-US" w:eastAsia="zh-CN"/>
              </w:rPr>
              <w:t>u</w:t>
            </w:r>
            <w:r>
              <w:rPr>
                <w:rFonts w:hint="eastAsia"/>
                <w:color w:val="auto"/>
                <w:lang w:val="en-US" w:eastAsia="zh-CN"/>
              </w:rPr>
              <w:t>级时，建筑整体直接评为</w:t>
            </w: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w:r>
              <w:rPr>
                <w:rFonts w:hint="eastAsia"/>
                <w:color w:val="auto"/>
                <w:lang w:val="en-US" w:eastAsia="zh-CN"/>
              </w:rPr>
              <w:t>级，否则应取地基基础和上部结构鉴定评级结果中最低等级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jc w:val="center"/>
        </w:trPr>
        <w:tc>
          <w:tcPr>
            <w:tcW w:w="1100" w:type="pct"/>
            <w:vMerge w:val="continue"/>
            <w:vAlign w:val="center"/>
          </w:tcPr>
          <w:p>
            <w:pPr>
              <w:pStyle w:val="24"/>
              <w:bidi w:val="0"/>
              <w:jc w:val="center"/>
              <w:rPr>
                <w:rFonts w:hint="eastAsia"/>
                <w:color w:val="auto"/>
              </w:rPr>
            </w:pPr>
          </w:p>
        </w:tc>
        <w:tc>
          <w:tcPr>
            <w:tcW w:w="2323" w:type="pct"/>
            <w:tcBorders>
              <w:top w:val="single" w:color="auto" w:sz="4" w:space="0"/>
              <w:right w:val="single" w:color="auto" w:sz="4" w:space="0"/>
            </w:tcBorders>
            <w:vAlign w:val="center"/>
          </w:tcPr>
          <w:p>
            <w:pPr>
              <w:pStyle w:val="24"/>
              <w:bidi w:val="0"/>
              <w:jc w:val="center"/>
              <w:rPr>
                <w:rFonts w:hint="default" w:eastAsia="宋体"/>
                <w:color w:val="auto"/>
                <w:lang w:val="en-US" w:eastAsia="zh-CN"/>
              </w:rPr>
            </w:pPr>
            <w:r>
              <w:rPr>
                <w:rFonts w:hint="eastAsia"/>
                <w:color w:val="auto"/>
                <w:lang w:val="en-US" w:eastAsia="zh-CN"/>
              </w:rPr>
              <w:t>上部结构鉴定评级</w:t>
            </w:r>
          </w:p>
        </w:tc>
        <w:tc>
          <w:tcPr>
            <w:tcW w:w="1576" w:type="pct"/>
            <w:vMerge w:val="continue"/>
            <w:tcBorders>
              <w:left w:val="single" w:color="auto" w:sz="4" w:space="0"/>
            </w:tcBorders>
            <w:vAlign w:val="center"/>
          </w:tcPr>
          <w:p>
            <w:pPr>
              <w:pStyle w:val="24"/>
              <w:bidi w:val="0"/>
              <w:jc w:val="center"/>
              <w:rPr>
                <w:rFonts w:hint="eastAsia"/>
                <w:color w:val="auto"/>
                <w:lang w:val="en-US" w:eastAsia="zh-CN"/>
              </w:rPr>
            </w:pPr>
          </w:p>
        </w:tc>
      </w:tr>
    </w:tbl>
    <w:p>
      <w:pPr>
        <w:pStyle w:val="28"/>
        <w:bidi w:val="0"/>
        <w:rPr>
          <w:rFonts w:hint="eastAsia"/>
          <w:color w:val="auto"/>
          <w:lang w:val="en-US" w:eastAsia="zh-CN"/>
        </w:rPr>
      </w:pPr>
      <w:r>
        <w:rPr>
          <w:rFonts w:hint="eastAsia"/>
          <w:color w:val="auto"/>
          <w:lang w:val="en-US" w:eastAsia="zh-CN"/>
        </w:rPr>
        <w:t>注：建筑处于有倒塌风险的建筑群中，且直接受到其威胁，建筑整体可直接评为</w:t>
      </w: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w:r>
        <w:rPr>
          <w:rFonts w:hint="eastAsia"/>
          <w:color w:val="auto"/>
          <w:lang w:val="en-US" w:eastAsia="zh-CN"/>
        </w:rPr>
        <w:t>级。</w:t>
      </w:r>
    </w:p>
    <w:p>
      <w:pPr>
        <w:pStyle w:val="26"/>
        <w:bidi w:val="0"/>
        <w:rPr>
          <w:rFonts w:hint="eastAsia"/>
          <w:color w:val="auto"/>
          <w:lang w:val="en-US" w:eastAsia="zh-CN"/>
        </w:rPr>
      </w:pPr>
      <w:r>
        <w:rPr>
          <w:rFonts w:hint="eastAsia"/>
          <w:color w:val="auto"/>
          <w:lang w:val="en-US" w:eastAsia="zh-CN"/>
        </w:rPr>
        <w:t>【条文说明】结构体系不符合规定，无论评级情况如何，均应在报告中列出不符合的详细情况如具体部位、不符合原因等等，为后续处理工作提供依据。</w:t>
      </w:r>
    </w:p>
    <w:p>
      <w:pPr>
        <w:pStyle w:val="26"/>
        <w:bidi w:val="0"/>
        <w:rPr>
          <w:rFonts w:hint="default" w:ascii="Times New Roman" w:hAnsi="Times New Roman"/>
          <w:color w:val="auto"/>
          <w:lang w:val="en-US" w:eastAsia="zh-CN"/>
        </w:rPr>
      </w:pPr>
      <w:r>
        <w:rPr>
          <w:rFonts w:hint="eastAsia" w:ascii="Times New Roman" w:hAnsi="Times New Roman"/>
          <w:color w:val="auto"/>
          <w:lang w:val="en-US" w:eastAsia="zh-CN"/>
        </w:rPr>
        <w:t>在实际</w:t>
      </w:r>
      <w:r>
        <w:rPr>
          <w:rFonts w:hint="eastAsia"/>
          <w:color w:val="auto"/>
          <w:lang w:val="en-US" w:eastAsia="zh-CN"/>
        </w:rPr>
        <w:t>安全性</w:t>
      </w:r>
      <w:r>
        <w:rPr>
          <w:rFonts w:hint="eastAsia" w:ascii="Times New Roman" w:hAnsi="Times New Roman"/>
          <w:color w:val="auto"/>
          <w:lang w:val="en-US" w:eastAsia="zh-CN"/>
        </w:rPr>
        <w:t>鉴定工作中，常常遇到房屋</w:t>
      </w:r>
      <w:r>
        <w:rPr>
          <w:rFonts w:hint="eastAsia"/>
          <w:color w:val="auto"/>
          <w:lang w:val="en-US" w:eastAsia="zh-CN"/>
        </w:rPr>
        <w:t>构件</w:t>
      </w:r>
      <w:r>
        <w:rPr>
          <w:rFonts w:hint="eastAsia" w:ascii="Times New Roman" w:hAnsi="Times New Roman"/>
          <w:color w:val="auto"/>
          <w:lang w:val="en-US" w:eastAsia="zh-CN"/>
        </w:rPr>
        <w:t>外观</w:t>
      </w:r>
      <w:r>
        <w:rPr>
          <w:rFonts w:hint="eastAsia"/>
          <w:color w:val="auto"/>
          <w:lang w:val="en-US" w:eastAsia="zh-CN"/>
        </w:rPr>
        <w:t>良好</w:t>
      </w:r>
      <w:r>
        <w:rPr>
          <w:rFonts w:hint="eastAsia" w:ascii="Times New Roman" w:hAnsi="Times New Roman"/>
          <w:color w:val="auto"/>
          <w:lang w:val="en-US" w:eastAsia="zh-CN"/>
        </w:rPr>
        <w:t>但根据《民用建筑可靠性鉴定标准》</w:t>
      </w:r>
      <w:r>
        <w:rPr>
          <w:rFonts w:hint="eastAsia"/>
          <w:color w:val="auto"/>
          <w:lang w:val="en-US" w:eastAsia="zh-CN"/>
        </w:rPr>
        <w:t>GB 50292中</w:t>
      </w:r>
      <w:r>
        <w:rPr>
          <w:rFonts w:hint="eastAsia" w:ascii="Times New Roman" w:hAnsi="Times New Roman"/>
          <w:color w:val="auto"/>
          <w:lang w:val="en-US" w:eastAsia="zh-CN"/>
        </w:rPr>
        <w:t>验算</w:t>
      </w:r>
      <w:r>
        <w:rPr>
          <w:rFonts w:hint="eastAsia"/>
          <w:color w:val="auto"/>
          <w:lang w:val="en-US" w:eastAsia="zh-CN"/>
        </w:rPr>
        <w:t>项目评级，构件被</w:t>
      </w:r>
      <w:r>
        <w:rPr>
          <w:rFonts w:hint="eastAsia" w:ascii="Times New Roman" w:hAnsi="Times New Roman"/>
          <w:color w:val="auto"/>
          <w:lang w:val="en-US" w:eastAsia="zh-CN"/>
        </w:rPr>
        <w:t>评为</w:t>
      </w:r>
      <w:r>
        <w:rPr>
          <w:rFonts w:hint="eastAsia"/>
          <w:color w:val="auto"/>
          <w:lang w:val="en-US" w:eastAsia="zh-CN"/>
        </w:rPr>
        <w:t>c</w:t>
      </w:r>
      <w:r>
        <w:rPr>
          <w:rFonts w:hint="eastAsia"/>
          <w:color w:val="auto"/>
          <w:vertAlign w:val="subscript"/>
          <w:lang w:val="en-US" w:eastAsia="zh-CN"/>
        </w:rPr>
        <w:t>u</w:t>
      </w:r>
      <w:r>
        <w:rPr>
          <w:rFonts w:hint="eastAsia" w:ascii="Times New Roman" w:hAnsi="Times New Roman"/>
          <w:color w:val="auto"/>
          <w:lang w:val="en-US" w:eastAsia="zh-CN"/>
        </w:rPr>
        <w:t>、</w:t>
      </w:r>
      <w:r>
        <w:rPr>
          <w:rFonts w:hint="eastAsia"/>
          <w:color w:val="auto"/>
          <w:lang w:val="en-US" w:eastAsia="zh-CN"/>
        </w:rPr>
        <w:t>d</w:t>
      </w:r>
      <w:r>
        <w:rPr>
          <w:rFonts w:hint="eastAsia"/>
          <w:color w:val="auto"/>
          <w:vertAlign w:val="subscript"/>
          <w:lang w:val="en-US" w:eastAsia="zh-CN"/>
        </w:rPr>
        <w:t>u</w:t>
      </w:r>
      <w:r>
        <w:rPr>
          <w:rFonts w:hint="eastAsia" w:ascii="Times New Roman" w:hAnsi="Times New Roman"/>
          <w:color w:val="auto"/>
          <w:lang w:val="en-US" w:eastAsia="zh-CN"/>
        </w:rPr>
        <w:t>级的情况</w:t>
      </w:r>
      <w:r>
        <w:rPr>
          <w:rFonts w:hint="eastAsia"/>
          <w:color w:val="auto"/>
          <w:lang w:val="en-US" w:eastAsia="zh-CN"/>
        </w:rPr>
        <w:t>，</w:t>
      </w:r>
      <w:r>
        <w:rPr>
          <w:rFonts w:hint="eastAsia" w:ascii="Times New Roman" w:hAnsi="Times New Roman"/>
          <w:color w:val="auto"/>
          <w:lang w:val="en-US" w:eastAsia="zh-CN"/>
        </w:rPr>
        <w:t>按</w:t>
      </w:r>
      <w:r>
        <w:rPr>
          <w:rFonts w:hint="eastAsia"/>
          <w:color w:val="auto"/>
          <w:lang w:val="en-US" w:eastAsia="zh-CN"/>
        </w:rPr>
        <w:t>标准</w:t>
      </w:r>
      <w:r>
        <w:rPr>
          <w:rFonts w:hint="eastAsia" w:ascii="Times New Roman" w:hAnsi="Times New Roman"/>
          <w:color w:val="auto"/>
          <w:lang w:val="en-US" w:eastAsia="zh-CN"/>
        </w:rPr>
        <w:t>应对房屋采取措施或立即采取措施</w:t>
      </w:r>
      <w:r>
        <w:rPr>
          <w:rFonts w:hint="eastAsia"/>
          <w:color w:val="auto"/>
          <w:lang w:val="en-US" w:eastAsia="zh-CN"/>
        </w:rPr>
        <w:t>。上述</w:t>
      </w:r>
      <w:r>
        <w:rPr>
          <w:rFonts w:hint="eastAsia" w:ascii="Times New Roman" w:hAnsi="Times New Roman"/>
          <w:color w:val="auto"/>
          <w:lang w:val="en-US" w:eastAsia="zh-CN"/>
        </w:rPr>
        <w:t>情况</w:t>
      </w:r>
      <w:r>
        <w:rPr>
          <w:rFonts w:hint="eastAsia"/>
          <w:color w:val="auto"/>
          <w:lang w:val="en-US" w:eastAsia="zh-CN"/>
        </w:rPr>
        <w:t>存在</w:t>
      </w:r>
      <w:r>
        <w:rPr>
          <w:rFonts w:hint="eastAsia" w:ascii="Times New Roman" w:hAnsi="Times New Roman"/>
          <w:color w:val="auto"/>
          <w:lang w:val="en-US" w:eastAsia="zh-CN"/>
        </w:rPr>
        <w:t>不合理</w:t>
      </w:r>
      <w:r>
        <w:rPr>
          <w:rFonts w:hint="eastAsia"/>
          <w:color w:val="auto"/>
          <w:lang w:val="en-US" w:eastAsia="zh-CN"/>
        </w:rPr>
        <w:t>之处</w:t>
      </w:r>
      <w:r>
        <w:rPr>
          <w:rFonts w:hint="eastAsia" w:ascii="Times New Roman" w:hAnsi="Times New Roman"/>
          <w:color w:val="auto"/>
          <w:lang w:val="en-US" w:eastAsia="zh-CN"/>
        </w:rPr>
        <w:t>，因为验算不满足并不能</w:t>
      </w:r>
      <w:r>
        <w:rPr>
          <w:rFonts w:hint="eastAsia"/>
          <w:color w:val="auto"/>
          <w:lang w:val="en-US" w:eastAsia="zh-CN"/>
        </w:rPr>
        <w:t>等同于</w:t>
      </w:r>
      <w:r>
        <w:rPr>
          <w:rFonts w:hint="eastAsia" w:ascii="Times New Roman" w:hAnsi="Times New Roman"/>
          <w:color w:val="auto"/>
          <w:lang w:val="en-US" w:eastAsia="zh-CN"/>
        </w:rPr>
        <w:t>不安全，</w:t>
      </w:r>
      <w:r>
        <w:rPr>
          <w:rFonts w:hint="eastAsia"/>
          <w:color w:val="auto"/>
          <w:lang w:val="en-US" w:eastAsia="zh-CN"/>
        </w:rPr>
        <w:t>因可能存在</w:t>
      </w:r>
      <w:r>
        <w:rPr>
          <w:rFonts w:hint="eastAsia" w:ascii="Times New Roman" w:hAnsi="Times New Roman"/>
          <w:color w:val="auto"/>
          <w:lang w:val="en-US" w:eastAsia="zh-CN"/>
        </w:rPr>
        <w:t>实际使用荷载小于设计荷载、材料强度高于设计值、设计计算简图相对于结构实际受力偏于保守等</w:t>
      </w:r>
      <w:r>
        <w:rPr>
          <w:rFonts w:hint="eastAsia"/>
          <w:color w:val="auto"/>
          <w:lang w:val="en-US" w:eastAsia="zh-CN"/>
        </w:rPr>
        <w:t>情况</w:t>
      </w:r>
      <w:r>
        <w:rPr>
          <w:rFonts w:hint="eastAsia" w:ascii="Times New Roman" w:hAnsi="Times New Roman"/>
          <w:color w:val="auto"/>
          <w:lang w:val="en-US" w:eastAsia="zh-CN"/>
        </w:rPr>
        <w:t>，</w:t>
      </w:r>
      <w:r>
        <w:rPr>
          <w:rFonts w:hint="eastAsia"/>
          <w:color w:val="auto"/>
          <w:lang w:val="en-US" w:eastAsia="zh-CN"/>
        </w:rPr>
        <w:t>使构件并未出变形损伤特征。</w:t>
      </w:r>
      <w:r>
        <w:rPr>
          <w:rFonts w:hint="eastAsia" w:ascii="Times New Roman" w:hAnsi="Times New Roman"/>
          <w:color w:val="auto"/>
          <w:lang w:val="en-US" w:eastAsia="zh-CN"/>
        </w:rPr>
        <w:t>无论何种情况，</w:t>
      </w:r>
      <w:r>
        <w:rPr>
          <w:rFonts w:hint="eastAsia"/>
          <w:color w:val="auto"/>
          <w:lang w:val="en-US" w:eastAsia="zh-CN"/>
        </w:rPr>
        <w:t>构件在</w:t>
      </w:r>
      <w:r>
        <w:rPr>
          <w:rFonts w:hint="eastAsia" w:ascii="Times New Roman" w:hAnsi="Times New Roman"/>
          <w:color w:val="auto"/>
          <w:lang w:val="en-US" w:eastAsia="zh-CN"/>
        </w:rPr>
        <w:t>使用</w:t>
      </w:r>
      <w:r>
        <w:rPr>
          <w:rFonts w:hint="eastAsia"/>
          <w:color w:val="auto"/>
          <w:lang w:val="en-US" w:eastAsia="zh-CN"/>
        </w:rPr>
        <w:t>的</w:t>
      </w:r>
      <w:r>
        <w:rPr>
          <w:rFonts w:hint="eastAsia" w:ascii="Times New Roman" w:hAnsi="Times New Roman"/>
          <w:color w:val="auto"/>
          <w:lang w:val="en-US" w:eastAsia="zh-CN"/>
        </w:rPr>
        <w:t>较长时间</w:t>
      </w:r>
      <w:r>
        <w:rPr>
          <w:rFonts w:hint="eastAsia"/>
          <w:color w:val="auto"/>
          <w:lang w:val="en-US" w:eastAsia="zh-CN"/>
        </w:rPr>
        <w:t>里经过了荷载检验，</w:t>
      </w:r>
      <w:r>
        <w:rPr>
          <w:rFonts w:hint="eastAsia" w:ascii="Times New Roman" w:hAnsi="Times New Roman"/>
          <w:color w:val="auto"/>
          <w:lang w:val="en-US" w:eastAsia="zh-CN"/>
        </w:rPr>
        <w:t>在可预见的时间</w:t>
      </w:r>
      <w:r>
        <w:rPr>
          <w:rFonts w:hint="eastAsia"/>
          <w:color w:val="auto"/>
          <w:lang w:val="en-US" w:eastAsia="zh-CN"/>
        </w:rPr>
        <w:t>内</w:t>
      </w:r>
      <w:r>
        <w:rPr>
          <w:rFonts w:hint="eastAsia" w:ascii="Times New Roman" w:hAnsi="Times New Roman"/>
          <w:color w:val="auto"/>
          <w:lang w:val="en-US" w:eastAsia="zh-CN"/>
        </w:rPr>
        <w:t>如果荷载不会发生较大增加，应根据实事求是原则处理。</w:t>
      </w:r>
      <w:r>
        <w:rPr>
          <w:rFonts w:hint="eastAsia"/>
          <w:color w:val="auto"/>
          <w:lang w:val="en-US" w:eastAsia="zh-CN"/>
        </w:rPr>
        <w:t>另外，</w:t>
      </w:r>
      <w:r>
        <w:rPr>
          <w:rFonts w:hint="eastAsia" w:ascii="Times New Roman" w:hAnsi="Times New Roman"/>
          <w:color w:val="auto"/>
          <w:lang w:val="en-US" w:eastAsia="zh-CN"/>
        </w:rPr>
        <w:t>《民用建筑可靠性鉴定标准》</w:t>
      </w:r>
      <w:r>
        <w:rPr>
          <w:rFonts w:hint="eastAsia"/>
          <w:color w:val="auto"/>
          <w:lang w:val="en-US" w:eastAsia="zh-CN"/>
        </w:rPr>
        <w:t>GB 50292</w:t>
      </w:r>
      <w:r>
        <w:rPr>
          <w:rFonts w:hint="eastAsia" w:ascii="Times New Roman" w:hAnsi="Times New Roman"/>
          <w:color w:val="auto"/>
          <w:lang w:val="en-US" w:eastAsia="zh-CN"/>
        </w:rPr>
        <w:t>第5.1.4条规定：“当建筑物中的构件同时符合下列条件时，构件安全性等级可根据实际完好</w:t>
      </w:r>
      <w:r>
        <w:rPr>
          <w:rFonts w:hint="eastAsia"/>
          <w:color w:val="auto"/>
          <w:lang w:val="en-US" w:eastAsia="zh-CN"/>
        </w:rPr>
        <w:t>程度</w:t>
      </w:r>
      <w:r>
        <w:rPr>
          <w:rFonts w:hint="eastAsia" w:ascii="Times New Roman" w:hAnsi="Times New Roman"/>
          <w:color w:val="auto"/>
          <w:lang w:val="en-US" w:eastAsia="zh-CN"/>
        </w:rPr>
        <w:t>直接评为a</w:t>
      </w:r>
      <w:r>
        <w:rPr>
          <w:rFonts w:hint="eastAsia" w:ascii="Times New Roman" w:hAnsi="Times New Roman"/>
          <w:color w:val="auto"/>
          <w:vertAlign w:val="subscript"/>
          <w:lang w:val="en-US" w:eastAsia="zh-CN"/>
        </w:rPr>
        <w:t>u</w:t>
      </w:r>
      <w:r>
        <w:rPr>
          <w:rFonts w:hint="eastAsia" w:ascii="Times New Roman" w:hAnsi="Times New Roman"/>
          <w:color w:val="auto"/>
          <w:lang w:val="en-US" w:eastAsia="zh-CN"/>
        </w:rPr>
        <w:t>级或b</w:t>
      </w:r>
      <w:r>
        <w:rPr>
          <w:rFonts w:hint="eastAsia" w:ascii="Times New Roman" w:hAnsi="Times New Roman"/>
          <w:color w:val="auto"/>
          <w:vertAlign w:val="subscript"/>
          <w:lang w:val="en-US" w:eastAsia="zh-CN"/>
        </w:rPr>
        <w:t>u</w:t>
      </w:r>
      <w:r>
        <w:rPr>
          <w:rFonts w:hint="eastAsia" w:ascii="Times New Roman" w:hAnsi="Times New Roman"/>
          <w:color w:val="auto"/>
          <w:lang w:val="en-US" w:eastAsia="zh-CN"/>
        </w:rPr>
        <w:t>级</w:t>
      </w:r>
      <w:r>
        <w:rPr>
          <w:rFonts w:hint="eastAsia"/>
          <w:color w:val="auto"/>
          <w:lang w:val="en-US" w:eastAsia="zh-CN"/>
        </w:rPr>
        <w:t>：</w:t>
      </w:r>
      <w:r>
        <w:rPr>
          <w:rFonts w:hint="eastAsia" w:ascii="Times New Roman" w:hAnsi="Times New Roman"/>
          <w:color w:val="auto"/>
          <w:lang w:val="en-US" w:eastAsia="zh-CN"/>
        </w:rPr>
        <w:t>1）该构件未受结构性改变、修复、修理或用途、或使用条件改变的影响</w:t>
      </w:r>
      <w:r>
        <w:rPr>
          <w:rFonts w:hint="eastAsia"/>
          <w:color w:val="auto"/>
          <w:lang w:val="en-US" w:eastAsia="zh-CN"/>
        </w:rPr>
        <w:t>；</w:t>
      </w:r>
      <w:r>
        <w:rPr>
          <w:rFonts w:hint="eastAsia" w:ascii="Times New Roman" w:hAnsi="Times New Roman"/>
          <w:color w:val="auto"/>
          <w:lang w:val="en-US" w:eastAsia="zh-CN"/>
        </w:rPr>
        <w:t>2）该构件未遭明显的损坏</w:t>
      </w:r>
      <w:r>
        <w:rPr>
          <w:rFonts w:hint="eastAsia"/>
          <w:color w:val="auto"/>
          <w:lang w:val="en-US" w:eastAsia="zh-CN"/>
        </w:rPr>
        <w:t>；</w:t>
      </w:r>
      <w:r>
        <w:rPr>
          <w:rFonts w:hint="eastAsia" w:ascii="Times New Roman" w:hAnsi="Times New Roman"/>
          <w:color w:val="auto"/>
          <w:lang w:val="en-US" w:eastAsia="zh-CN"/>
        </w:rPr>
        <w:t>3）该构件工作正常，且不怀疑其可靠性不足</w:t>
      </w:r>
      <w:r>
        <w:rPr>
          <w:rFonts w:hint="eastAsia"/>
          <w:color w:val="auto"/>
          <w:lang w:val="en-US" w:eastAsia="zh-CN"/>
        </w:rPr>
        <w:t>；</w:t>
      </w:r>
      <w:r>
        <w:rPr>
          <w:rFonts w:hint="eastAsia" w:ascii="Times New Roman" w:hAnsi="Times New Roman"/>
          <w:color w:val="auto"/>
          <w:lang w:val="en-US" w:eastAsia="zh-CN"/>
        </w:rPr>
        <w:t>4）在下一目标使用年限内，该构件所承受的作用和所处的环境，与过去相比不会发生显著变化”。</w:t>
      </w:r>
      <w:r>
        <w:rPr>
          <w:rFonts w:hint="eastAsia"/>
          <w:color w:val="auto"/>
          <w:lang w:val="en-US" w:eastAsia="zh-CN"/>
        </w:rPr>
        <w:t>本导则</w:t>
      </w:r>
      <w:r>
        <w:rPr>
          <w:rFonts w:hint="eastAsia" w:ascii="Times New Roman" w:hAnsi="Times New Roman"/>
          <w:color w:val="auto"/>
          <w:lang w:val="en-US" w:eastAsia="zh-CN"/>
        </w:rPr>
        <w:t>采用的综合评级方法可杜绝大部分</w:t>
      </w:r>
      <w:r>
        <w:rPr>
          <w:rFonts w:hint="eastAsia"/>
          <w:color w:val="auto"/>
          <w:lang w:val="en-US" w:eastAsia="zh-CN"/>
        </w:rPr>
        <w:t>上述</w:t>
      </w:r>
      <w:r>
        <w:rPr>
          <w:rFonts w:hint="eastAsia" w:ascii="Times New Roman" w:hAnsi="Times New Roman"/>
          <w:color w:val="auto"/>
          <w:lang w:val="en-US" w:eastAsia="zh-CN"/>
        </w:rPr>
        <w:t>类似情况出现，符合房屋建设经济合理原则</w:t>
      </w:r>
      <w:r>
        <w:rPr>
          <w:rFonts w:hint="eastAsia"/>
          <w:color w:val="auto"/>
          <w:lang w:val="en-US" w:eastAsia="zh-CN"/>
        </w:rPr>
        <w:t>，</w:t>
      </w:r>
      <w:r>
        <w:rPr>
          <w:rFonts w:hint="eastAsia" w:ascii="Times New Roman" w:hAnsi="Times New Roman"/>
          <w:color w:val="auto"/>
          <w:lang w:val="en-US" w:eastAsia="zh-CN"/>
        </w:rPr>
        <w:t>也是对《民用建筑可靠性鉴定标准》</w:t>
      </w:r>
      <w:r>
        <w:rPr>
          <w:rFonts w:hint="eastAsia"/>
          <w:color w:val="auto"/>
          <w:lang w:val="en-US" w:eastAsia="zh-CN"/>
        </w:rPr>
        <w:t>GB 50292</w:t>
      </w:r>
      <w:r>
        <w:rPr>
          <w:rFonts w:hint="eastAsia" w:ascii="Times New Roman" w:hAnsi="Times New Roman"/>
          <w:color w:val="auto"/>
          <w:lang w:val="en-US" w:eastAsia="zh-CN"/>
        </w:rPr>
        <w:t>第5.1.4条规定的合理应用</w:t>
      </w:r>
      <w:r>
        <w:rPr>
          <w:rFonts w:hint="eastAsia"/>
          <w:color w:val="auto"/>
          <w:lang w:val="en-US" w:eastAsia="zh-CN"/>
        </w:rPr>
        <w:t>。</w:t>
      </w:r>
    </w:p>
    <w:p>
      <w:pPr>
        <w:pStyle w:val="26"/>
        <w:bidi w:val="0"/>
        <w:rPr>
          <w:rFonts w:hint="eastAsia" w:ascii="Times New Roman" w:hAnsi="Times New Roman"/>
          <w:color w:val="auto"/>
          <w:lang w:val="en-US" w:eastAsia="zh-CN"/>
        </w:rPr>
      </w:pPr>
      <w:r>
        <w:rPr>
          <w:rFonts w:hint="eastAsia"/>
          <w:color w:val="auto"/>
          <w:lang w:val="en-US" w:eastAsia="zh-CN"/>
        </w:rPr>
        <w:t>民用建筑</w:t>
      </w:r>
      <w:r>
        <w:rPr>
          <w:rFonts w:hint="eastAsia" w:ascii="Times New Roman" w:hAnsi="Times New Roman"/>
          <w:color w:val="auto"/>
          <w:lang w:val="en-US" w:eastAsia="zh-CN"/>
        </w:rPr>
        <w:t>安全性鉴定常常遇到要求只对</w:t>
      </w:r>
      <w:r>
        <w:rPr>
          <w:rFonts w:hint="eastAsia"/>
          <w:color w:val="auto"/>
          <w:lang w:val="en-US" w:eastAsia="zh-CN"/>
        </w:rPr>
        <w:t>建筑</w:t>
      </w:r>
      <w:r>
        <w:rPr>
          <w:rFonts w:hint="eastAsia" w:ascii="Times New Roman" w:hAnsi="Times New Roman"/>
          <w:color w:val="auto"/>
          <w:lang w:val="en-US" w:eastAsia="zh-CN"/>
        </w:rPr>
        <w:t>局部楼层或构件进行鉴定的情况，局部鉴定与整体的关系一直有争议，争议主要是现场工作不具备对</w:t>
      </w:r>
      <w:r>
        <w:rPr>
          <w:rFonts w:hint="eastAsia"/>
          <w:color w:val="auto"/>
          <w:lang w:val="en-US" w:eastAsia="zh-CN"/>
        </w:rPr>
        <w:t>其他</w:t>
      </w:r>
      <w:r>
        <w:rPr>
          <w:rFonts w:hint="eastAsia" w:ascii="Times New Roman" w:hAnsi="Times New Roman"/>
          <w:color w:val="auto"/>
          <w:lang w:val="en-US" w:eastAsia="zh-CN"/>
        </w:rPr>
        <w:t>部位鉴定的条件，而局部鉴定并不能完全保证结构整体的安全性</w:t>
      </w:r>
      <w:r>
        <w:rPr>
          <w:rFonts w:hint="eastAsia"/>
          <w:color w:val="auto"/>
          <w:lang w:val="en-US" w:eastAsia="zh-CN"/>
        </w:rPr>
        <w:t>，</w:t>
      </w:r>
      <w:r>
        <w:rPr>
          <w:rFonts w:hint="eastAsia" w:ascii="Times New Roman" w:hAnsi="Times New Roman"/>
          <w:color w:val="auto"/>
          <w:lang w:val="en-US" w:eastAsia="zh-CN"/>
        </w:rPr>
        <w:t>进而不能完全保证局部结构的安全性</w:t>
      </w:r>
      <w:r>
        <w:rPr>
          <w:rFonts w:hint="eastAsia"/>
          <w:color w:val="auto"/>
          <w:lang w:val="en-US" w:eastAsia="zh-CN"/>
        </w:rPr>
        <w:t>。</w:t>
      </w:r>
      <w:r>
        <w:rPr>
          <w:rFonts w:hint="eastAsia" w:ascii="Times New Roman" w:hAnsi="Times New Roman"/>
          <w:color w:val="auto"/>
          <w:lang w:val="en-US" w:eastAsia="zh-CN"/>
        </w:rPr>
        <w:t>本</w:t>
      </w:r>
      <w:r>
        <w:rPr>
          <w:rFonts w:hint="eastAsia"/>
          <w:color w:val="auto"/>
          <w:lang w:val="en-US" w:eastAsia="zh-CN"/>
        </w:rPr>
        <w:t>导则</w:t>
      </w:r>
      <w:r>
        <w:rPr>
          <w:rFonts w:hint="eastAsia" w:ascii="Times New Roman" w:hAnsi="Times New Roman"/>
          <w:color w:val="auto"/>
          <w:lang w:val="en-US" w:eastAsia="zh-CN"/>
        </w:rPr>
        <w:t>规定进行局部鉴定时，必须进行第一级鉴定以保证结构整体安全性，且第一级鉴定方法属于核查、检查方法，对现场几乎无破损，因此现场工作推进相对容易。</w:t>
      </w:r>
    </w:p>
    <w:p>
      <w:pPr>
        <w:pStyle w:val="26"/>
        <w:bidi w:val="0"/>
        <w:rPr>
          <w:rFonts w:hint="default"/>
          <w:color w:val="auto"/>
          <w:lang w:val="en-US" w:eastAsia="zh-CN"/>
        </w:rPr>
      </w:pPr>
      <w:r>
        <w:rPr>
          <w:rFonts w:hint="eastAsia"/>
          <w:color w:val="auto"/>
        </w:rPr>
        <w:t>当仅对建筑物某个</w:t>
      </w:r>
      <w:r>
        <w:rPr>
          <w:rFonts w:hint="eastAsia"/>
          <w:color w:val="auto"/>
          <w:lang w:val="en-US" w:eastAsia="zh-CN"/>
        </w:rPr>
        <w:t>楼层、局部区域或部位</w:t>
      </w:r>
      <w:r>
        <w:rPr>
          <w:rFonts w:hint="eastAsia"/>
          <w:color w:val="auto"/>
        </w:rPr>
        <w:t>进行鉴定时</w:t>
      </w:r>
      <w:r>
        <w:rPr>
          <w:rFonts w:hint="eastAsia"/>
          <w:color w:val="auto"/>
          <w:lang w:eastAsia="zh-CN"/>
        </w:rPr>
        <w:t>，</w:t>
      </w:r>
      <w:r>
        <w:rPr>
          <w:rFonts w:hint="eastAsia"/>
          <w:color w:val="auto"/>
          <w:lang w:val="en-US" w:eastAsia="zh-CN"/>
        </w:rPr>
        <w:t>其与相邻</w:t>
      </w:r>
      <w:r>
        <w:rPr>
          <w:rFonts w:hint="eastAsia"/>
          <w:color w:val="auto"/>
        </w:rPr>
        <w:t>的</w:t>
      </w:r>
      <w:r>
        <w:rPr>
          <w:rFonts w:hint="eastAsia"/>
          <w:color w:val="auto"/>
          <w:lang w:val="en-US" w:eastAsia="zh-CN"/>
        </w:rPr>
        <w:t>连接部位也应进行鉴定。当对局部楼层进行鉴定时，</w:t>
      </w:r>
      <w:r>
        <w:rPr>
          <w:rFonts w:hint="eastAsia"/>
          <w:color w:val="auto"/>
          <w:lang w:eastAsia="zh-CN"/>
        </w:rPr>
        <w:t>“</w:t>
      </w:r>
      <w:r>
        <w:rPr>
          <w:rFonts w:hint="eastAsia"/>
          <w:color w:val="auto"/>
          <w:lang w:val="en-US" w:eastAsia="zh-CN"/>
        </w:rPr>
        <w:t>连接</w:t>
      </w:r>
      <w:r>
        <w:rPr>
          <w:rFonts w:hint="eastAsia"/>
          <w:color w:val="auto"/>
        </w:rPr>
        <w:t>部位</w:t>
      </w:r>
      <w:r>
        <w:rPr>
          <w:rFonts w:hint="eastAsia"/>
          <w:color w:val="auto"/>
          <w:lang w:eastAsia="zh-CN"/>
        </w:rPr>
        <w:t>”</w:t>
      </w:r>
      <w:r>
        <w:rPr>
          <w:rFonts w:hint="eastAsia"/>
          <w:color w:val="auto"/>
          <w:lang w:val="en-US" w:eastAsia="zh-CN"/>
        </w:rPr>
        <w:t>为与鉴定部位连接的竖向构件；当对楼层中局部区域进行鉴定时，</w:t>
      </w:r>
      <w:r>
        <w:rPr>
          <w:rFonts w:hint="eastAsia"/>
          <w:color w:val="auto"/>
          <w:lang w:eastAsia="zh-CN"/>
        </w:rPr>
        <w:t>“</w:t>
      </w:r>
      <w:r>
        <w:rPr>
          <w:rFonts w:hint="eastAsia"/>
          <w:color w:val="auto"/>
          <w:lang w:val="en-US" w:eastAsia="zh-CN"/>
        </w:rPr>
        <w:t>连接</w:t>
      </w:r>
      <w:r>
        <w:rPr>
          <w:rFonts w:hint="eastAsia"/>
          <w:color w:val="auto"/>
        </w:rPr>
        <w:t>部位</w:t>
      </w:r>
      <w:r>
        <w:rPr>
          <w:rFonts w:hint="eastAsia"/>
          <w:color w:val="auto"/>
          <w:lang w:val="en-US" w:eastAsia="zh-CN"/>
        </w:rPr>
        <w:t>或构件</w:t>
      </w:r>
      <w:r>
        <w:rPr>
          <w:rFonts w:hint="eastAsia"/>
          <w:color w:val="auto"/>
          <w:lang w:eastAsia="zh-CN"/>
        </w:rPr>
        <w:t>”</w:t>
      </w:r>
      <w:r>
        <w:rPr>
          <w:rFonts w:hint="eastAsia"/>
          <w:color w:val="auto"/>
          <w:lang w:val="en-US" w:eastAsia="zh-CN"/>
        </w:rPr>
        <w:t>为外扩3跨且不小于20m范围内的承重构件。</w:t>
      </w:r>
    </w:p>
    <w:p>
      <w:pPr>
        <w:pStyle w:val="3"/>
        <w:bidi w:val="0"/>
        <w:ind w:left="0" w:leftChars="0" w:firstLine="0" w:firstLineChars="0"/>
        <w:rPr>
          <w:rFonts w:hint="default"/>
          <w:color w:val="auto"/>
          <w:lang w:val="en-US" w:eastAsia="zh-CN"/>
        </w:rPr>
      </w:pPr>
      <w:bookmarkStart w:id="42" w:name="_Toc30601"/>
      <w:bookmarkStart w:id="43" w:name="_Toc8227"/>
      <w:r>
        <w:rPr>
          <w:rFonts w:hint="eastAsia"/>
          <w:color w:val="auto"/>
          <w:lang w:val="en-US" w:eastAsia="zh-CN"/>
        </w:rPr>
        <w:t>鉴定分级标准</w:t>
      </w:r>
      <w:bookmarkEnd w:id="42"/>
      <w:bookmarkEnd w:id="43"/>
    </w:p>
    <w:p>
      <w:pPr>
        <w:pStyle w:val="5"/>
        <w:bidi w:val="0"/>
        <w:rPr>
          <w:rFonts w:hint="eastAsia"/>
          <w:color w:val="auto"/>
          <w:lang w:val="en-US" w:eastAsia="zh-CN"/>
        </w:rPr>
      </w:pPr>
      <w:bookmarkStart w:id="44" w:name="_Ref10971"/>
      <w:r>
        <w:rPr>
          <w:rFonts w:hint="eastAsia"/>
          <w:color w:val="auto"/>
          <w:lang w:val="en-US" w:eastAsia="zh-CN"/>
        </w:rPr>
        <w:t>民用建筑安全性微鉴定评级的分级标准，应按表</w:t>
      </w:r>
      <w:r>
        <w:rPr>
          <w:rFonts w:hint="eastAsia"/>
          <w:color w:val="auto"/>
          <w:lang w:val="en-US" w:eastAsia="zh-CN"/>
        </w:rPr>
        <w:fldChar w:fldCharType="begin"/>
      </w:r>
      <w:r>
        <w:rPr>
          <w:rFonts w:hint="eastAsia"/>
          <w:color w:val="auto"/>
          <w:lang w:val="en-US" w:eastAsia="zh-CN"/>
        </w:rPr>
        <w:instrText xml:space="preserve"> REF _Ref10971 \n \h </w:instrText>
      </w:r>
      <w:r>
        <w:rPr>
          <w:rFonts w:hint="eastAsia"/>
          <w:color w:val="auto"/>
          <w:lang w:val="en-US" w:eastAsia="zh-CN"/>
        </w:rPr>
        <w:fldChar w:fldCharType="separate"/>
      </w:r>
      <w:r>
        <w:rPr>
          <w:rFonts w:hint="eastAsia"/>
          <w:color w:val="auto"/>
          <w:lang w:val="en-US" w:eastAsia="zh-CN"/>
        </w:rPr>
        <w:t>6.7.1</w:t>
      </w:r>
      <w:r>
        <w:rPr>
          <w:rFonts w:hint="eastAsia"/>
          <w:color w:val="auto"/>
          <w:lang w:val="en-US" w:eastAsia="zh-CN"/>
        </w:rPr>
        <w:fldChar w:fldCharType="end"/>
      </w:r>
      <w:r>
        <w:rPr>
          <w:rFonts w:hint="eastAsia"/>
          <w:color w:val="auto"/>
          <w:lang w:val="en-US" w:eastAsia="zh-CN"/>
        </w:rPr>
        <w:t>-1</w:t>
      </w:r>
      <w:r>
        <w:rPr>
          <w:rFonts w:hint="default"/>
          <w:color w:val="auto"/>
          <w:lang w:val="en-US" w:eastAsia="zh-CN"/>
        </w:rPr>
        <w:t>~</w:t>
      </w:r>
      <w:r>
        <w:rPr>
          <w:rFonts w:hint="eastAsia"/>
          <w:color w:val="auto"/>
          <w:lang w:val="en-US" w:eastAsia="zh-CN"/>
        </w:rPr>
        <w:fldChar w:fldCharType="begin"/>
      </w:r>
      <w:r>
        <w:rPr>
          <w:rFonts w:hint="eastAsia"/>
          <w:color w:val="auto"/>
          <w:lang w:val="en-US" w:eastAsia="zh-CN"/>
        </w:rPr>
        <w:instrText xml:space="preserve"> REF _Ref10971 \n \h </w:instrText>
      </w:r>
      <w:r>
        <w:rPr>
          <w:rFonts w:hint="eastAsia"/>
          <w:color w:val="auto"/>
          <w:lang w:val="en-US" w:eastAsia="zh-CN"/>
        </w:rPr>
        <w:fldChar w:fldCharType="separate"/>
      </w:r>
      <w:r>
        <w:rPr>
          <w:rFonts w:hint="eastAsia"/>
          <w:color w:val="auto"/>
          <w:lang w:val="en-US" w:eastAsia="zh-CN"/>
        </w:rPr>
        <w:t>6.7.1</w:t>
      </w:r>
      <w:r>
        <w:rPr>
          <w:rFonts w:hint="eastAsia"/>
          <w:color w:val="auto"/>
          <w:lang w:val="en-US" w:eastAsia="zh-CN"/>
        </w:rPr>
        <w:fldChar w:fldCharType="end"/>
      </w:r>
      <w:r>
        <w:rPr>
          <w:rFonts w:hint="eastAsia"/>
          <w:color w:val="auto"/>
          <w:lang w:val="en-US" w:eastAsia="zh-CN"/>
        </w:rPr>
        <w:t>-4的规定采用。</w:t>
      </w:r>
      <w:bookmarkEnd w:id="44"/>
      <w:r>
        <w:rPr>
          <w:rFonts w:hint="eastAsia"/>
          <w:color w:val="auto"/>
          <w:lang w:val="en-US" w:eastAsia="zh-CN"/>
        </w:rPr>
        <w:t>其中，围护构件分级标准按照上部结构单个构件的规定执行。</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_Ref10971 \n \h </w:instrText>
      </w:r>
      <w:r>
        <w:rPr>
          <w:rFonts w:hint="eastAsia"/>
          <w:color w:val="auto"/>
          <w:lang w:val="en-US" w:eastAsia="zh-CN"/>
        </w:rPr>
        <w:fldChar w:fldCharType="separate"/>
      </w:r>
      <w:r>
        <w:rPr>
          <w:rFonts w:hint="eastAsia"/>
          <w:color w:val="auto"/>
          <w:lang w:val="en-US" w:eastAsia="zh-CN"/>
        </w:rPr>
        <w:t>6.7.1</w:t>
      </w:r>
      <w:r>
        <w:rPr>
          <w:rFonts w:hint="eastAsia"/>
          <w:color w:val="auto"/>
          <w:lang w:val="en-US" w:eastAsia="zh-CN"/>
        </w:rPr>
        <w:fldChar w:fldCharType="end"/>
      </w:r>
      <w:r>
        <w:rPr>
          <w:rFonts w:hint="eastAsia"/>
          <w:color w:val="auto"/>
          <w:lang w:val="en-US" w:eastAsia="zh-CN"/>
        </w:rPr>
        <w:t>-1 地基基础安全性鉴定评级的分级标准</w:t>
      </w:r>
    </w:p>
    <w:tbl>
      <w:tblPr>
        <w:tblStyle w:val="27"/>
        <w:tblW w:w="503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94"/>
        <w:gridCol w:w="835"/>
        <w:gridCol w:w="4052"/>
        <w:gridCol w:w="249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93"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鉴定对象</w:t>
            </w:r>
          </w:p>
        </w:tc>
        <w:tc>
          <w:tcPr>
            <w:tcW w:w="498"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等级</w:t>
            </w:r>
          </w:p>
        </w:tc>
        <w:tc>
          <w:tcPr>
            <w:tcW w:w="2417"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分级标准</w:t>
            </w:r>
          </w:p>
        </w:tc>
        <w:tc>
          <w:tcPr>
            <w:tcW w:w="1489"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处理要求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93" w:type="pct"/>
            <w:vMerge w:val="restart"/>
            <w:tcBorders>
              <w:top w:val="single" w:color="auto" w:sz="4" w:space="0"/>
            </w:tcBorders>
            <w:vAlign w:val="center"/>
          </w:tcPr>
          <w:p>
            <w:pPr>
              <w:pStyle w:val="24"/>
              <w:bidi w:val="0"/>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地基基础</w:t>
            </w:r>
          </w:p>
        </w:tc>
        <w:tc>
          <w:tcPr>
            <w:tcW w:w="498" w:type="pct"/>
            <w:shd w:val="clear" w:color="auto" w:fill="auto"/>
            <w:vAlign w:val="center"/>
          </w:tcPr>
          <w:p>
            <w:pPr>
              <w:pStyle w:val="24"/>
              <w:bidi w:val="0"/>
              <w:ind w:firstLine="0" w:firstLineChars="0"/>
              <w:jc w:val="center"/>
              <w:rPr>
                <w:rFonts w:hint="default"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A</w:t>
            </w:r>
            <w:r>
              <w:rPr>
                <w:rFonts w:hint="eastAsia"/>
                <w:color w:val="auto"/>
                <w:vertAlign w:val="subscript"/>
                <w:lang w:val="en-US" w:eastAsia="zh-CN"/>
              </w:rPr>
              <w:t>u</w:t>
            </w:r>
          </w:p>
        </w:tc>
        <w:tc>
          <w:tcPr>
            <w:tcW w:w="2417" w:type="pct"/>
            <w:shd w:val="clear" w:color="auto" w:fill="auto"/>
            <w:vAlign w:val="center"/>
          </w:tcPr>
          <w:p>
            <w:pPr>
              <w:pStyle w:val="24"/>
              <w:bidi w:val="0"/>
              <w:jc w:val="lef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安全性符合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级的规定，不影响整体承载</w:t>
            </w:r>
          </w:p>
        </w:tc>
        <w:tc>
          <w:tcPr>
            <w:tcW w:w="1489"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lang w:val="en-US" w:eastAsia="zh-CN"/>
              </w:rPr>
              <w:t>不必</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93"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498" w:type="pct"/>
            <w:shd w:val="clear" w:color="auto" w:fill="auto"/>
            <w:vAlign w:val="center"/>
          </w:tcPr>
          <w:p>
            <w:pPr>
              <w:pStyle w:val="24"/>
              <w:bidi w:val="0"/>
              <w:ind w:firstLine="0" w:firstLineChars="0"/>
              <w:jc w:val="center"/>
              <w:rPr>
                <w:rFonts w:hint="default" w:hAnsi="Cambria Math" w:cs="宋体"/>
                <w:i w:val="0"/>
                <w:color w:val="auto"/>
                <w:kern w:val="0"/>
                <w:sz w:val="21"/>
                <w:szCs w:val="21"/>
                <w:lang w:val="en-US" w:eastAsia="zh-CN" w:bidi="ar"/>
              </w:rPr>
            </w:pPr>
            <w:r>
              <w:rPr>
                <w:rFonts w:hint="eastAsia"/>
                <w:color w:val="auto"/>
                <w:lang w:val="en-US" w:eastAsia="zh-CN"/>
              </w:rPr>
              <w:t>B</w:t>
            </w:r>
            <w:r>
              <w:rPr>
                <w:rFonts w:hint="eastAsia"/>
                <w:color w:val="auto"/>
                <w:vertAlign w:val="subscript"/>
                <w:lang w:val="en-US" w:eastAsia="zh-CN"/>
              </w:rPr>
              <w:t>u</w:t>
            </w:r>
          </w:p>
        </w:tc>
        <w:tc>
          <w:tcPr>
            <w:tcW w:w="2417" w:type="pct"/>
            <w:shd w:val="clear" w:color="auto" w:fill="auto"/>
            <w:vAlign w:val="center"/>
          </w:tcPr>
          <w:p>
            <w:pPr>
              <w:pStyle w:val="24"/>
              <w:bidi w:val="0"/>
              <w:jc w:val="lef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安全性略低于</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级的规定，尚不显著影响整体承</w:t>
            </w:r>
          </w:p>
        </w:tc>
        <w:tc>
          <w:tcPr>
            <w:tcW w:w="1489"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可</w:t>
            </w:r>
            <w:r>
              <w:rPr>
                <w:rFonts w:hint="eastAsia" w:asciiTheme="minorEastAsia" w:hAnsiTheme="minorEastAsia" w:eastAsiaTheme="minorEastAsia" w:cstheme="minorEastAsia"/>
                <w:color w:val="auto"/>
                <w:sz w:val="21"/>
                <w:szCs w:val="21"/>
                <w:lang w:val="en-US" w:eastAsia="zh-CN"/>
              </w:rPr>
              <w:t>不</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93"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498" w:type="pct"/>
            <w:shd w:val="clear" w:color="auto" w:fill="auto"/>
            <w:vAlign w:val="center"/>
          </w:tcPr>
          <w:p>
            <w:pPr>
              <w:pStyle w:val="24"/>
              <w:bidi w:val="0"/>
              <w:ind w:firstLine="0" w:firstLineChars="0"/>
              <w:jc w:val="center"/>
              <w:rPr>
                <w:rFonts w:hint="eastAsia" w:hAnsi="Cambria Math" w:cs="宋体"/>
                <w:i w:val="0"/>
                <w:color w:val="auto"/>
                <w:kern w:val="0"/>
                <w:sz w:val="21"/>
                <w:szCs w:val="21"/>
                <w:lang w:val="en-US" w:eastAsia="zh-CN" w:bidi="ar"/>
              </w:rPr>
            </w:pPr>
            <w:r>
              <w:rPr>
                <w:rFonts w:hint="eastAsia"/>
                <w:color w:val="auto"/>
                <w:lang w:val="en-US" w:eastAsia="zh-CN"/>
              </w:rPr>
              <w:t>C</w:t>
            </w:r>
            <w:r>
              <w:rPr>
                <w:rFonts w:hint="eastAsia"/>
                <w:color w:val="auto"/>
                <w:vertAlign w:val="subscript"/>
                <w:lang w:val="en-US" w:eastAsia="zh-CN"/>
              </w:rPr>
              <w:t>u</w:t>
            </w:r>
          </w:p>
        </w:tc>
        <w:tc>
          <w:tcPr>
            <w:tcW w:w="2417" w:type="pct"/>
            <w:shd w:val="clear" w:color="auto" w:fill="auto"/>
            <w:vAlign w:val="center"/>
          </w:tcPr>
          <w:p>
            <w:pPr>
              <w:pStyle w:val="24"/>
              <w:bidi w:val="0"/>
              <w:jc w:val="lef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sz w:val="21"/>
                <w:szCs w:val="21"/>
              </w:rPr>
              <w:t>安全性不符合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级的规定，显著影响整体承载</w:t>
            </w:r>
          </w:p>
        </w:tc>
        <w:tc>
          <w:tcPr>
            <w:tcW w:w="1489"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转为常规鉴定</w:t>
            </w:r>
          </w:p>
        </w:tc>
      </w:tr>
    </w:tbl>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_Ref10971 \n \h </w:instrText>
      </w:r>
      <w:r>
        <w:rPr>
          <w:rFonts w:hint="eastAsia"/>
          <w:color w:val="auto"/>
          <w:lang w:val="en-US" w:eastAsia="zh-CN"/>
        </w:rPr>
        <w:fldChar w:fldCharType="separate"/>
      </w:r>
      <w:r>
        <w:rPr>
          <w:rFonts w:hint="eastAsia"/>
          <w:color w:val="auto"/>
          <w:lang w:val="en-US" w:eastAsia="zh-CN"/>
        </w:rPr>
        <w:t>6.7.1</w:t>
      </w:r>
      <w:r>
        <w:rPr>
          <w:rFonts w:hint="eastAsia"/>
          <w:color w:val="auto"/>
          <w:lang w:val="en-US" w:eastAsia="zh-CN"/>
        </w:rPr>
        <w:fldChar w:fldCharType="end"/>
      </w:r>
      <w:r>
        <w:rPr>
          <w:rFonts w:hint="eastAsia"/>
          <w:color w:val="auto"/>
          <w:lang w:val="en-US" w:eastAsia="zh-CN"/>
        </w:rPr>
        <w:t>-2 上部结构结构体系安全性鉴定评级的分级标准</w:t>
      </w:r>
    </w:p>
    <w:tbl>
      <w:tblPr>
        <w:tblStyle w:val="27"/>
        <w:tblW w:w="501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000"/>
        <w:gridCol w:w="789"/>
        <w:gridCol w:w="4071"/>
        <w:gridCol w:w="24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600"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鉴定对象</w:t>
            </w:r>
          </w:p>
        </w:tc>
        <w:tc>
          <w:tcPr>
            <w:tcW w:w="473"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等级</w:t>
            </w:r>
          </w:p>
        </w:tc>
        <w:tc>
          <w:tcPr>
            <w:tcW w:w="2442"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分级标准</w:t>
            </w:r>
          </w:p>
        </w:tc>
        <w:tc>
          <w:tcPr>
            <w:tcW w:w="1483"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处理要求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600" w:type="pct"/>
            <w:vMerge w:val="restart"/>
            <w:tcBorders>
              <w:top w:val="single" w:color="auto" w:sz="4" w:space="0"/>
            </w:tcBorders>
            <w:vAlign w:val="center"/>
          </w:tcPr>
          <w:p>
            <w:pPr>
              <w:pStyle w:val="24"/>
              <w:bidi w:val="0"/>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结构体系</w:t>
            </w:r>
            <w:r>
              <w:rPr>
                <w:rFonts w:hint="eastAsia" w:asciiTheme="minorEastAsia" w:hAnsiTheme="minorEastAsia" w:eastAsiaTheme="minorEastAsia" w:cstheme="minorEastAsia"/>
                <w:color w:val="auto"/>
                <w:sz w:val="21"/>
                <w:szCs w:val="21"/>
              </w:rPr>
              <w:t>或其检查项目</w:t>
            </w:r>
          </w:p>
        </w:tc>
        <w:tc>
          <w:tcPr>
            <w:tcW w:w="473" w:type="pct"/>
            <w:shd w:val="clear" w:color="auto" w:fill="auto"/>
            <w:vAlign w:val="center"/>
          </w:tcPr>
          <w:p>
            <w:pPr>
              <w:pStyle w:val="24"/>
              <w:bidi w:val="0"/>
              <w:ind w:firstLine="0" w:firstLineChars="0"/>
              <w:jc w:val="center"/>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A</w:t>
            </w:r>
            <w:r>
              <w:rPr>
                <w:rFonts w:hint="eastAsia"/>
                <w:color w:val="auto"/>
                <w:vertAlign w:val="subscript"/>
                <w:lang w:val="en-US" w:eastAsia="zh-CN"/>
              </w:rPr>
              <w:t>u</w:t>
            </w:r>
          </w:p>
        </w:tc>
        <w:tc>
          <w:tcPr>
            <w:tcW w:w="2442"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级的规定，不影响整体承载</w:t>
            </w:r>
          </w:p>
        </w:tc>
        <w:tc>
          <w:tcPr>
            <w:tcW w:w="1483"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lang w:val="en-US" w:eastAsia="zh-CN"/>
              </w:rPr>
              <w:t>不必</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00"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473" w:type="pct"/>
            <w:shd w:val="clear" w:color="auto" w:fill="auto"/>
            <w:vAlign w:val="center"/>
          </w:tcPr>
          <w:p>
            <w:pPr>
              <w:pStyle w:val="24"/>
              <w:bidi w:val="0"/>
              <w:ind w:firstLine="0" w:firstLineChars="0"/>
              <w:jc w:val="center"/>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B</w:t>
            </w:r>
            <w:r>
              <w:rPr>
                <w:rFonts w:hint="eastAsia"/>
                <w:color w:val="auto"/>
                <w:vertAlign w:val="subscript"/>
                <w:lang w:val="en-US" w:eastAsia="zh-CN"/>
              </w:rPr>
              <w:t>u</w:t>
            </w:r>
          </w:p>
        </w:tc>
        <w:tc>
          <w:tcPr>
            <w:tcW w:w="2442"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安全性略低于</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级的规定，尚不显著影响整体承载</w:t>
            </w:r>
          </w:p>
        </w:tc>
        <w:tc>
          <w:tcPr>
            <w:tcW w:w="1483"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可能</w:t>
            </w:r>
            <w:r>
              <w:rPr>
                <w:rFonts w:hint="eastAsia" w:asciiTheme="minorEastAsia" w:hAnsiTheme="minorEastAsia" w:eastAsiaTheme="minorEastAsia" w:cstheme="minorEastAsia"/>
                <w:color w:val="auto"/>
                <w:sz w:val="21"/>
                <w:szCs w:val="21"/>
                <w:lang w:val="en-US" w:eastAsia="zh-CN"/>
              </w:rPr>
              <w:t>需</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600"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473" w:type="pct"/>
            <w:shd w:val="clear" w:color="auto" w:fill="auto"/>
            <w:vAlign w:val="center"/>
          </w:tcPr>
          <w:p>
            <w:pPr>
              <w:pStyle w:val="24"/>
              <w:bidi w:val="0"/>
              <w:ind w:firstLine="0" w:firstLineChars="0"/>
              <w:jc w:val="center"/>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C</w:t>
            </w:r>
            <w:r>
              <w:rPr>
                <w:rFonts w:hint="eastAsia"/>
                <w:color w:val="auto"/>
                <w:vertAlign w:val="subscript"/>
                <w:lang w:val="en-US" w:eastAsia="zh-CN"/>
              </w:rPr>
              <w:t>u</w:t>
            </w:r>
          </w:p>
        </w:tc>
        <w:tc>
          <w:tcPr>
            <w:tcW w:w="2442"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安全性不符合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级的规定，显著影响整体承载</w:t>
            </w:r>
          </w:p>
        </w:tc>
        <w:tc>
          <w:tcPr>
            <w:tcW w:w="1483"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转为常规鉴定</w:t>
            </w:r>
          </w:p>
        </w:tc>
      </w:tr>
    </w:tbl>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_Ref10971 \n \h </w:instrText>
      </w:r>
      <w:r>
        <w:rPr>
          <w:rFonts w:hint="eastAsia"/>
          <w:color w:val="auto"/>
          <w:lang w:val="en-US" w:eastAsia="zh-CN"/>
        </w:rPr>
        <w:fldChar w:fldCharType="separate"/>
      </w:r>
      <w:r>
        <w:rPr>
          <w:rFonts w:hint="eastAsia"/>
          <w:color w:val="auto"/>
          <w:lang w:val="en-US" w:eastAsia="zh-CN"/>
        </w:rPr>
        <w:t>6.7.1</w:t>
      </w:r>
      <w:r>
        <w:rPr>
          <w:rFonts w:hint="eastAsia"/>
          <w:color w:val="auto"/>
          <w:lang w:val="en-US" w:eastAsia="zh-CN"/>
        </w:rPr>
        <w:fldChar w:fldCharType="end"/>
      </w:r>
      <w:r>
        <w:rPr>
          <w:rFonts w:hint="eastAsia"/>
          <w:color w:val="auto"/>
          <w:lang w:val="en-US" w:eastAsia="zh-CN"/>
        </w:rPr>
        <w:t>-3 上部结构结构构件系统安全性鉴定评级的分级标准</w:t>
      </w:r>
    </w:p>
    <w:tbl>
      <w:tblPr>
        <w:tblStyle w:val="27"/>
        <w:tblW w:w="504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10"/>
        <w:gridCol w:w="768"/>
        <w:gridCol w:w="611"/>
        <w:gridCol w:w="3894"/>
        <w:gridCol w:w="25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层次</w:t>
            </w:r>
          </w:p>
        </w:tc>
        <w:tc>
          <w:tcPr>
            <w:tcW w:w="458"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鉴定对象</w:t>
            </w:r>
          </w:p>
        </w:tc>
        <w:tc>
          <w:tcPr>
            <w:tcW w:w="364"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等级</w:t>
            </w:r>
          </w:p>
        </w:tc>
        <w:tc>
          <w:tcPr>
            <w:tcW w:w="2321"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分级标准</w:t>
            </w:r>
          </w:p>
        </w:tc>
        <w:tc>
          <w:tcPr>
            <w:tcW w:w="1490"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处理要求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restart"/>
            <w:tcBorders>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一</w:t>
            </w:r>
          </w:p>
        </w:tc>
        <w:tc>
          <w:tcPr>
            <w:tcW w:w="458" w:type="pct"/>
            <w:vMerge w:val="restart"/>
            <w:tcBorders>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单个构件或其检查项目</w:t>
            </w:r>
          </w:p>
        </w:tc>
        <w:tc>
          <w:tcPr>
            <w:tcW w:w="364" w:type="pct"/>
            <w:vAlign w:val="center"/>
          </w:tcPr>
          <w:p>
            <w:pPr>
              <w:pStyle w:val="24"/>
              <w:bidi w:val="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a</w:t>
            </w:r>
            <w:r>
              <w:rPr>
                <w:rFonts w:hint="eastAsia" w:ascii="Times New Roman" w:hAnsi="Cambria Math" w:eastAsia="宋体" w:cs="宋体"/>
                <w:color w:val="auto"/>
                <w:kern w:val="0"/>
                <w:sz w:val="24"/>
                <w:szCs w:val="24"/>
                <w:vertAlign w:val="subscript"/>
                <w:lang w:val="en-US" w:eastAsia="zh-CN" w:bidi="ar"/>
              </w:rPr>
              <w:t>u</w:t>
            </w:r>
          </w:p>
        </w:tc>
        <w:tc>
          <w:tcPr>
            <w:tcW w:w="2321" w:type="pct"/>
            <w:vAlign w:val="center"/>
          </w:tcPr>
          <w:p>
            <w:pPr>
              <w:pStyle w:val="24"/>
              <w:bidi w:val="0"/>
              <w:jc w:val="left"/>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安全性符合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对a级的规定，具有足够的</w:t>
            </w:r>
            <w:r>
              <w:rPr>
                <w:rFonts w:hint="eastAsia" w:asciiTheme="minorEastAsia" w:hAnsiTheme="minorEastAsia" w:eastAsiaTheme="minorEastAsia" w:cstheme="minorEastAsia"/>
                <w:color w:val="auto"/>
                <w:sz w:val="21"/>
                <w:szCs w:val="21"/>
                <w:lang w:eastAsia="zh-CN"/>
              </w:rPr>
              <w:t>承载力</w:t>
            </w:r>
          </w:p>
        </w:tc>
        <w:tc>
          <w:tcPr>
            <w:tcW w:w="1490"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不必采取措施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continue"/>
            <w:tcBorders>
              <w:top w:val="nil"/>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p>
        </w:tc>
        <w:tc>
          <w:tcPr>
            <w:tcW w:w="458" w:type="pct"/>
            <w:vMerge w:val="continue"/>
            <w:tcBorders>
              <w:top w:val="nil"/>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p>
        </w:tc>
        <w:tc>
          <w:tcPr>
            <w:tcW w:w="364" w:type="pct"/>
            <w:vAlign w:val="center"/>
          </w:tcPr>
          <w:p>
            <w:pPr>
              <w:pStyle w:val="24"/>
              <w:bidi w:val="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rPr>
              <w:t>b</w:t>
            </w:r>
            <w:r>
              <w:rPr>
                <w:rFonts w:hint="eastAsia" w:ascii="Times New Roman" w:hAnsi="Cambria Math" w:eastAsia="宋体" w:cs="宋体"/>
                <w:color w:val="auto"/>
                <w:kern w:val="0"/>
                <w:sz w:val="24"/>
                <w:szCs w:val="24"/>
                <w:vertAlign w:val="subscript"/>
                <w:lang w:val="en-US" w:eastAsia="zh-CN" w:bidi="ar"/>
              </w:rPr>
              <w:t>u</w:t>
            </w:r>
          </w:p>
        </w:tc>
        <w:tc>
          <w:tcPr>
            <w:tcW w:w="2321" w:type="pct"/>
            <w:vAlign w:val="center"/>
          </w:tcPr>
          <w:p>
            <w:pPr>
              <w:pStyle w:val="24"/>
              <w:bidi w:val="0"/>
              <w:jc w:val="left"/>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安全性略低于</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对a级的规定，尚不显著影响</w:t>
            </w:r>
            <w:r>
              <w:rPr>
                <w:rFonts w:hint="eastAsia" w:asciiTheme="minorEastAsia" w:hAnsiTheme="minorEastAsia" w:eastAsiaTheme="minorEastAsia" w:cstheme="minorEastAsia"/>
                <w:color w:val="auto"/>
                <w:sz w:val="21"/>
                <w:szCs w:val="21"/>
                <w:lang w:eastAsia="zh-CN"/>
              </w:rPr>
              <w:t>承载力</w:t>
            </w:r>
          </w:p>
        </w:tc>
        <w:tc>
          <w:tcPr>
            <w:tcW w:w="1490"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可不采取措施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continue"/>
            <w:tcBorders>
              <w:top w:val="nil"/>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p>
        </w:tc>
        <w:tc>
          <w:tcPr>
            <w:tcW w:w="458" w:type="pct"/>
            <w:vMerge w:val="continue"/>
            <w:tcBorders>
              <w:top w:val="nil"/>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p>
        </w:tc>
        <w:tc>
          <w:tcPr>
            <w:tcW w:w="364" w:type="pct"/>
            <w:vAlign w:val="center"/>
          </w:tcPr>
          <w:p>
            <w:pPr>
              <w:pStyle w:val="24"/>
              <w:bidi w:val="0"/>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c</w:t>
            </w:r>
            <w:r>
              <w:rPr>
                <w:rFonts w:hint="eastAsia" w:ascii="Times New Roman" w:hAnsi="Cambria Math" w:eastAsia="宋体" w:cs="宋体"/>
                <w:color w:val="auto"/>
                <w:kern w:val="0"/>
                <w:sz w:val="24"/>
                <w:szCs w:val="24"/>
                <w:vertAlign w:val="subscript"/>
                <w:lang w:val="en-US" w:eastAsia="zh-CN" w:bidi="ar"/>
              </w:rPr>
              <w:t>u</w:t>
            </w:r>
          </w:p>
        </w:tc>
        <w:tc>
          <w:tcPr>
            <w:tcW w:w="2321" w:type="pct"/>
            <w:vAlign w:val="center"/>
          </w:tcPr>
          <w:p>
            <w:pPr>
              <w:pStyle w:val="24"/>
              <w:bidi w:val="0"/>
              <w:jc w:val="left"/>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安全性不符合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对a级的规定，显著影响</w:t>
            </w:r>
            <w:r>
              <w:rPr>
                <w:rFonts w:hint="eastAsia" w:asciiTheme="minorEastAsia" w:hAnsiTheme="minorEastAsia" w:eastAsiaTheme="minorEastAsia" w:cstheme="minorEastAsia"/>
                <w:color w:val="auto"/>
                <w:sz w:val="21"/>
                <w:szCs w:val="21"/>
                <w:lang w:eastAsia="zh-CN"/>
              </w:rPr>
              <w:t>承载力</w:t>
            </w:r>
          </w:p>
        </w:tc>
        <w:tc>
          <w:tcPr>
            <w:tcW w:w="1490"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需</w:t>
            </w:r>
            <w:r>
              <w:rPr>
                <w:rFonts w:hint="eastAsia" w:asciiTheme="minorEastAsia" w:hAnsiTheme="minorEastAsia" w:eastAsiaTheme="minorEastAsia" w:cstheme="minorEastAsia"/>
                <w:color w:val="auto"/>
                <w:sz w:val="21"/>
                <w:szCs w:val="21"/>
              </w:rPr>
              <w:t>采取</w:t>
            </w:r>
            <w:r>
              <w:rPr>
                <w:rFonts w:hint="eastAsia" w:asciiTheme="minorEastAsia" w:hAnsiTheme="minorEastAsia" w:eastAsiaTheme="minorEastAsia" w:cstheme="minorEastAsia"/>
                <w:color w:val="auto"/>
                <w:sz w:val="21"/>
                <w:szCs w:val="21"/>
                <w:lang w:val="en-US" w:eastAsia="zh-CN"/>
              </w:rPr>
              <w:t>或</w:t>
            </w:r>
            <w:r>
              <w:rPr>
                <w:rFonts w:hint="eastAsia" w:asciiTheme="minorEastAsia" w:hAnsiTheme="minorEastAsia" w:eastAsiaTheme="minorEastAsia" w:cstheme="minorEastAsia"/>
                <w:color w:val="auto"/>
                <w:sz w:val="21"/>
                <w:szCs w:val="21"/>
              </w:rPr>
              <w:t>及时采取措施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restart"/>
            <w:tcBorders>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二</w:t>
            </w:r>
          </w:p>
        </w:tc>
        <w:tc>
          <w:tcPr>
            <w:tcW w:w="458" w:type="pct"/>
            <w:vMerge w:val="restart"/>
            <w:tcBorders>
              <w:bottom w:val="nil"/>
            </w:tcBorders>
            <w:vAlign w:val="center"/>
          </w:tcPr>
          <w:p>
            <w:pPr>
              <w:pStyle w:val="24"/>
              <w:bidi w:val="0"/>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楼层</w:t>
            </w:r>
          </w:p>
        </w:tc>
        <w:tc>
          <w:tcPr>
            <w:tcW w:w="611" w:type="dxa"/>
            <w:vAlign w:val="center"/>
          </w:tcPr>
          <w:p>
            <w:pPr>
              <w:pStyle w:val="24"/>
              <w:bidi w:val="0"/>
              <w:ind w:firstLine="0" w:firstLineChars="0"/>
              <w:jc w:val="center"/>
              <w:rPr>
                <w:rFonts w:hint="default" w:asciiTheme="minorEastAsia" w:hAnsiTheme="minorEastAsia" w:eastAsiaTheme="minorEastAsia" w:cstheme="minorEastAsia"/>
                <w:color w:val="auto"/>
                <w:sz w:val="21"/>
                <w:szCs w:val="21"/>
                <w:lang w:val="en-US" w:eastAsia="zh-CN"/>
              </w:rPr>
            </w:pPr>
            <w:r>
              <w:rPr>
                <w:rFonts w:hint="eastAsia"/>
                <w:color w:val="auto"/>
                <w:lang w:val="en-US" w:eastAsia="zh-CN"/>
              </w:rPr>
              <w:t>A</w:t>
            </w:r>
            <w:r>
              <w:rPr>
                <w:rFonts w:hint="eastAsia"/>
                <w:color w:val="auto"/>
                <w:vertAlign w:val="subscript"/>
                <w:lang w:val="en-US" w:eastAsia="zh-CN"/>
              </w:rPr>
              <w:t>u</w:t>
            </w:r>
          </w:p>
        </w:tc>
        <w:tc>
          <w:tcPr>
            <w:tcW w:w="2321"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安全性符合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级的规定，不影响整体承载</w:t>
            </w:r>
          </w:p>
        </w:tc>
        <w:tc>
          <w:tcPr>
            <w:tcW w:w="1490"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不必</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continue"/>
            <w:tcBorders>
              <w:top w:val="nil"/>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p>
        </w:tc>
        <w:tc>
          <w:tcPr>
            <w:tcW w:w="458" w:type="pct"/>
            <w:vMerge w:val="continue"/>
            <w:tcBorders>
              <w:top w:val="nil"/>
              <w:bottom w:val="nil"/>
            </w:tcBorders>
            <w:vAlign w:val="center"/>
          </w:tcPr>
          <w:p>
            <w:pPr>
              <w:pStyle w:val="24"/>
              <w:bidi w:val="0"/>
              <w:jc w:val="center"/>
              <w:rPr>
                <w:rFonts w:hint="eastAsia" w:asciiTheme="minorEastAsia" w:hAnsiTheme="minorEastAsia" w:eastAsiaTheme="minorEastAsia" w:cstheme="minorEastAsia"/>
                <w:color w:val="auto"/>
                <w:sz w:val="21"/>
                <w:szCs w:val="21"/>
              </w:rPr>
            </w:pPr>
          </w:p>
        </w:tc>
        <w:tc>
          <w:tcPr>
            <w:tcW w:w="611" w:type="dxa"/>
            <w:vAlign w:val="center"/>
          </w:tcPr>
          <w:p>
            <w:pPr>
              <w:pStyle w:val="24"/>
              <w:bidi w:val="0"/>
              <w:ind w:firstLine="0" w:firstLineChars="0"/>
              <w:jc w:val="center"/>
              <w:rPr>
                <w:rFonts w:hint="default" w:asciiTheme="minorEastAsia" w:hAnsiTheme="minorEastAsia" w:eastAsiaTheme="minorEastAsia" w:cstheme="minorEastAsia"/>
                <w:color w:val="auto"/>
                <w:sz w:val="21"/>
                <w:szCs w:val="21"/>
                <w:lang w:val="en-US" w:eastAsia="zh-CN"/>
              </w:rPr>
            </w:pPr>
            <w:r>
              <w:rPr>
                <w:rFonts w:hint="eastAsia"/>
                <w:color w:val="auto"/>
                <w:lang w:val="en-US" w:eastAsia="zh-CN"/>
              </w:rPr>
              <w:t>B</w:t>
            </w:r>
            <w:r>
              <w:rPr>
                <w:rFonts w:hint="eastAsia"/>
                <w:color w:val="auto"/>
                <w:vertAlign w:val="subscript"/>
                <w:lang w:val="en-US" w:eastAsia="zh-CN"/>
              </w:rPr>
              <w:t>u</w:t>
            </w:r>
          </w:p>
        </w:tc>
        <w:tc>
          <w:tcPr>
            <w:tcW w:w="2321"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安全性略低于</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级的规定，尚不显著影响整体承载</w:t>
            </w:r>
          </w:p>
        </w:tc>
        <w:tc>
          <w:tcPr>
            <w:tcW w:w="1490"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可</w:t>
            </w:r>
            <w:r>
              <w:rPr>
                <w:rFonts w:hint="eastAsia" w:asciiTheme="minorEastAsia" w:hAnsiTheme="minorEastAsia" w:eastAsiaTheme="minorEastAsia" w:cstheme="minorEastAsia"/>
                <w:color w:val="auto"/>
                <w:sz w:val="21"/>
                <w:szCs w:val="21"/>
                <w:lang w:val="en-US" w:eastAsia="zh-CN"/>
              </w:rPr>
              <w:t>能有少数构件需</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continue"/>
            <w:tcBorders>
              <w:top w:val="nil"/>
              <w:bottom w:val="single" w:color="auto" w:sz="4" w:space="0"/>
            </w:tcBorders>
            <w:vAlign w:val="center"/>
          </w:tcPr>
          <w:p>
            <w:pPr>
              <w:pStyle w:val="24"/>
              <w:bidi w:val="0"/>
              <w:jc w:val="center"/>
              <w:rPr>
                <w:rFonts w:hint="eastAsia" w:asciiTheme="minorEastAsia" w:hAnsiTheme="minorEastAsia" w:eastAsiaTheme="minorEastAsia" w:cstheme="minorEastAsia"/>
                <w:color w:val="auto"/>
                <w:sz w:val="21"/>
                <w:szCs w:val="21"/>
              </w:rPr>
            </w:pPr>
          </w:p>
        </w:tc>
        <w:tc>
          <w:tcPr>
            <w:tcW w:w="458" w:type="pct"/>
            <w:vMerge w:val="continue"/>
            <w:tcBorders>
              <w:top w:val="nil"/>
              <w:bottom w:val="single" w:color="auto" w:sz="4" w:space="0"/>
            </w:tcBorders>
            <w:vAlign w:val="center"/>
          </w:tcPr>
          <w:p>
            <w:pPr>
              <w:pStyle w:val="24"/>
              <w:bidi w:val="0"/>
              <w:jc w:val="center"/>
              <w:rPr>
                <w:rFonts w:hint="eastAsia" w:asciiTheme="minorEastAsia" w:hAnsiTheme="minorEastAsia" w:eastAsiaTheme="minorEastAsia" w:cstheme="minorEastAsia"/>
                <w:color w:val="auto"/>
                <w:sz w:val="21"/>
                <w:szCs w:val="21"/>
              </w:rPr>
            </w:pPr>
          </w:p>
        </w:tc>
        <w:tc>
          <w:tcPr>
            <w:tcW w:w="611" w:type="dxa"/>
            <w:vAlign w:val="center"/>
          </w:tcPr>
          <w:p>
            <w:pPr>
              <w:pStyle w:val="24"/>
              <w:bidi w:val="0"/>
              <w:ind w:firstLine="0" w:firstLineChars="0"/>
              <w:jc w:val="center"/>
              <w:rPr>
                <w:rFonts w:hint="default" w:asciiTheme="minorEastAsia" w:hAnsiTheme="minorEastAsia" w:eastAsiaTheme="minorEastAsia" w:cstheme="minorEastAsia"/>
                <w:color w:val="auto"/>
                <w:sz w:val="21"/>
                <w:szCs w:val="21"/>
                <w:lang w:val="en-US" w:eastAsia="zh-CN"/>
              </w:rPr>
            </w:pPr>
            <w:r>
              <w:rPr>
                <w:rFonts w:hint="eastAsia"/>
                <w:color w:val="auto"/>
                <w:lang w:val="en-US" w:eastAsia="zh-CN"/>
              </w:rPr>
              <w:t>C</w:t>
            </w:r>
            <w:r>
              <w:rPr>
                <w:rFonts w:hint="eastAsia"/>
                <w:color w:val="auto"/>
                <w:vertAlign w:val="subscript"/>
                <w:lang w:val="en-US" w:eastAsia="zh-CN"/>
              </w:rPr>
              <w:t>u</w:t>
            </w:r>
          </w:p>
        </w:tc>
        <w:tc>
          <w:tcPr>
            <w:tcW w:w="2321"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安全性不符合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级的规定，显著影响整体承载</w:t>
            </w:r>
          </w:p>
        </w:tc>
        <w:tc>
          <w:tcPr>
            <w:tcW w:w="1490" w:type="pct"/>
            <w:vAlign w:val="center"/>
          </w:tcPr>
          <w:p>
            <w:pPr>
              <w:pStyle w:val="24"/>
              <w:bidi w:val="0"/>
              <w:jc w:val="left"/>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需</w:t>
            </w:r>
            <w:r>
              <w:rPr>
                <w:rFonts w:hint="eastAsia" w:asciiTheme="minorEastAsia" w:hAnsiTheme="minorEastAsia" w:eastAsiaTheme="minorEastAsia" w:cstheme="minorEastAsia"/>
                <w:color w:val="auto"/>
                <w:sz w:val="21"/>
                <w:szCs w:val="21"/>
              </w:rPr>
              <w:t>采取</w:t>
            </w:r>
            <w:r>
              <w:rPr>
                <w:rFonts w:hint="eastAsia" w:asciiTheme="minorEastAsia" w:hAnsiTheme="minorEastAsia" w:eastAsiaTheme="minorEastAsia" w:cstheme="minorEastAsia"/>
                <w:color w:val="auto"/>
                <w:sz w:val="21"/>
                <w:szCs w:val="21"/>
                <w:lang w:val="en-US" w:eastAsia="zh-CN"/>
              </w:rPr>
              <w:t>或</w:t>
            </w:r>
            <w:r>
              <w:rPr>
                <w:rFonts w:hint="eastAsia" w:asciiTheme="minorEastAsia" w:hAnsiTheme="minorEastAsia" w:eastAsiaTheme="minorEastAsia" w:cstheme="minorEastAsia"/>
                <w:color w:val="auto"/>
                <w:sz w:val="21"/>
                <w:szCs w:val="21"/>
              </w:rPr>
              <w:t>及时采取措施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restart"/>
            <w:tcBorders>
              <w:top w:val="single" w:color="auto" w:sz="4" w:space="0"/>
            </w:tcBorders>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三</w:t>
            </w:r>
          </w:p>
        </w:tc>
        <w:tc>
          <w:tcPr>
            <w:tcW w:w="458" w:type="pct"/>
            <w:vMerge w:val="restart"/>
            <w:tcBorders>
              <w:top w:val="single" w:color="auto" w:sz="4" w:space="0"/>
            </w:tcBorders>
            <w:vAlign w:val="center"/>
          </w:tcPr>
          <w:p>
            <w:pPr>
              <w:pStyle w:val="24"/>
              <w:bidi w:val="0"/>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结构构件系统</w:t>
            </w:r>
          </w:p>
        </w:tc>
        <w:tc>
          <w:tcPr>
            <w:tcW w:w="611" w:type="dxa"/>
            <w:shd w:val="clear" w:color="auto" w:fill="auto"/>
            <w:vAlign w:val="center"/>
          </w:tcPr>
          <w:p>
            <w:pPr>
              <w:pStyle w:val="24"/>
              <w:bidi w:val="0"/>
              <w:ind w:firstLine="0" w:firstLineChars="0"/>
              <w:jc w:val="center"/>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A</w:t>
            </w:r>
            <w:r>
              <w:rPr>
                <w:rFonts w:hint="eastAsia"/>
                <w:color w:val="auto"/>
                <w:vertAlign w:val="subscript"/>
                <w:lang w:val="en-US" w:eastAsia="zh-CN"/>
              </w:rPr>
              <w:t>u</w:t>
            </w:r>
          </w:p>
        </w:tc>
        <w:tc>
          <w:tcPr>
            <w:tcW w:w="2321"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级的规定，不影响整体承载</w:t>
            </w:r>
          </w:p>
        </w:tc>
        <w:tc>
          <w:tcPr>
            <w:tcW w:w="1490"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lang w:val="en-US" w:eastAsia="zh-CN"/>
              </w:rPr>
              <w:t>不必</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458"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611" w:type="dxa"/>
            <w:shd w:val="clear" w:color="auto" w:fill="auto"/>
            <w:vAlign w:val="center"/>
          </w:tcPr>
          <w:p>
            <w:pPr>
              <w:pStyle w:val="24"/>
              <w:bidi w:val="0"/>
              <w:ind w:firstLine="0" w:firstLineChars="0"/>
              <w:jc w:val="center"/>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B</w:t>
            </w:r>
            <w:r>
              <w:rPr>
                <w:rFonts w:hint="eastAsia"/>
                <w:color w:val="auto"/>
                <w:vertAlign w:val="subscript"/>
                <w:lang w:val="en-US" w:eastAsia="zh-CN"/>
              </w:rPr>
              <w:t>u</w:t>
            </w:r>
          </w:p>
        </w:tc>
        <w:tc>
          <w:tcPr>
            <w:tcW w:w="2321"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安全性略低于</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级的规定，尚不显著影响整体承载</w:t>
            </w:r>
          </w:p>
        </w:tc>
        <w:tc>
          <w:tcPr>
            <w:tcW w:w="1490"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可</w:t>
            </w:r>
            <w:r>
              <w:rPr>
                <w:rFonts w:hint="eastAsia" w:asciiTheme="minorEastAsia" w:hAnsiTheme="minorEastAsia" w:eastAsiaTheme="minorEastAsia" w:cstheme="minorEastAsia"/>
                <w:color w:val="auto"/>
                <w:sz w:val="21"/>
                <w:szCs w:val="21"/>
                <w:lang w:val="en-US" w:eastAsia="zh-CN"/>
              </w:rPr>
              <w:t>能有少数构件需</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364"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458"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611" w:type="dxa"/>
            <w:shd w:val="clear" w:color="auto" w:fill="auto"/>
            <w:vAlign w:val="center"/>
          </w:tcPr>
          <w:p>
            <w:pPr>
              <w:pStyle w:val="24"/>
              <w:bidi w:val="0"/>
              <w:ind w:firstLine="0" w:firstLineChars="0"/>
              <w:jc w:val="center"/>
              <w:rPr>
                <w:rFonts w:hint="eastAsia" w:asciiTheme="minorEastAsia" w:hAnsiTheme="minorEastAsia" w:eastAsiaTheme="minorEastAsia" w:cstheme="minorEastAsia"/>
                <w:color w:val="auto"/>
                <w:kern w:val="2"/>
                <w:sz w:val="21"/>
                <w:szCs w:val="21"/>
                <w:lang w:val="en-US" w:eastAsia="zh-CN" w:bidi="ar-SA"/>
              </w:rPr>
            </w:pPr>
            <w:r>
              <w:rPr>
                <w:rFonts w:hint="eastAsia"/>
                <w:color w:val="auto"/>
                <w:lang w:val="en-US" w:eastAsia="zh-CN"/>
              </w:rPr>
              <w:t>C</w:t>
            </w:r>
            <w:r>
              <w:rPr>
                <w:rFonts w:hint="eastAsia"/>
                <w:color w:val="auto"/>
                <w:vertAlign w:val="subscript"/>
                <w:lang w:val="en-US" w:eastAsia="zh-CN"/>
              </w:rPr>
              <w:t>u</w:t>
            </w:r>
          </w:p>
        </w:tc>
        <w:tc>
          <w:tcPr>
            <w:tcW w:w="2321"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安全性不符合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olor w:val="auto"/>
                <w:lang w:val="en-US" w:eastAsia="zh-CN"/>
              </w:rPr>
              <w:t>A</w:t>
            </w:r>
            <w:r>
              <w:rPr>
                <w:rFonts w:hint="eastAsia"/>
                <w:color w:val="auto"/>
                <w:vertAlign w:val="subscript"/>
                <w:lang w:val="en-US" w:eastAsia="zh-CN"/>
              </w:rPr>
              <w:t>u</w:t>
            </w:r>
            <w:r>
              <w:rPr>
                <w:rFonts w:hint="eastAsia" w:asciiTheme="minorEastAsia" w:hAnsiTheme="minorEastAsia" w:eastAsiaTheme="minorEastAsia" w:cstheme="minorEastAsia"/>
                <w:color w:val="auto"/>
                <w:sz w:val="21"/>
                <w:szCs w:val="21"/>
              </w:rPr>
              <w:t>级的规定，显著影响整体承载</w:t>
            </w:r>
          </w:p>
        </w:tc>
        <w:tc>
          <w:tcPr>
            <w:tcW w:w="1490"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转为常规鉴定</w:t>
            </w:r>
          </w:p>
        </w:tc>
      </w:tr>
    </w:tbl>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_Ref10971 \n \h </w:instrText>
      </w:r>
      <w:r>
        <w:rPr>
          <w:rFonts w:hint="eastAsia"/>
          <w:color w:val="auto"/>
          <w:lang w:val="en-US" w:eastAsia="zh-CN"/>
        </w:rPr>
        <w:fldChar w:fldCharType="separate"/>
      </w:r>
      <w:r>
        <w:rPr>
          <w:rFonts w:hint="eastAsia"/>
          <w:color w:val="auto"/>
          <w:lang w:val="en-US" w:eastAsia="zh-CN"/>
        </w:rPr>
        <w:t>6.7.1</w:t>
      </w:r>
      <w:r>
        <w:rPr>
          <w:rFonts w:hint="eastAsia"/>
          <w:color w:val="auto"/>
          <w:lang w:val="en-US" w:eastAsia="zh-CN"/>
        </w:rPr>
        <w:fldChar w:fldCharType="end"/>
      </w:r>
      <w:r>
        <w:rPr>
          <w:rFonts w:hint="eastAsia"/>
          <w:color w:val="auto"/>
          <w:lang w:val="en-US" w:eastAsia="zh-CN"/>
        </w:rPr>
        <w:t>-4 建筑整体安全性鉴定评级的分级标准</w:t>
      </w:r>
    </w:p>
    <w:tbl>
      <w:tblPr>
        <w:tblStyle w:val="27"/>
        <w:tblW w:w="505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05"/>
        <w:gridCol w:w="834"/>
        <w:gridCol w:w="4151"/>
        <w:gridCol w:w="25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38"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鉴定对象</w:t>
            </w:r>
          </w:p>
        </w:tc>
        <w:tc>
          <w:tcPr>
            <w:tcW w:w="496"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等级</w:t>
            </w:r>
          </w:p>
        </w:tc>
        <w:tc>
          <w:tcPr>
            <w:tcW w:w="2468"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分级标准</w:t>
            </w:r>
          </w:p>
        </w:tc>
        <w:tc>
          <w:tcPr>
            <w:tcW w:w="1496" w:type="pct"/>
            <w:vAlign w:val="center"/>
          </w:tcPr>
          <w:p>
            <w:pPr>
              <w:pStyle w:val="24"/>
              <w:bidi w:val="0"/>
              <w:jc w:val="center"/>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处理要求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38" w:type="pct"/>
            <w:vMerge w:val="restart"/>
            <w:tcBorders>
              <w:top w:val="single" w:color="auto" w:sz="4" w:space="0"/>
            </w:tcBorders>
            <w:vAlign w:val="center"/>
          </w:tcPr>
          <w:p>
            <w:pPr>
              <w:pStyle w:val="24"/>
              <w:bidi w:val="0"/>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建筑整体</w:t>
            </w:r>
          </w:p>
        </w:tc>
        <w:tc>
          <w:tcPr>
            <w:tcW w:w="496" w:type="pct"/>
            <w:shd w:val="clear" w:color="auto" w:fill="auto"/>
            <w:vAlign w:val="center"/>
          </w:tcPr>
          <w:p>
            <w:pPr>
              <w:pStyle w:val="24"/>
              <w:bidi w:val="0"/>
              <w:ind w:firstLine="0" w:firstLineChars="0"/>
              <w:jc w:val="center"/>
              <w:rPr>
                <w:rFonts w:hint="default" w:hAnsi="Cambria Math" w:cs="宋体"/>
                <w:i w:val="0"/>
                <w:color w:val="auto"/>
                <w:kern w:val="0"/>
                <w:sz w:val="21"/>
                <w:szCs w:val="21"/>
                <w:lang w:val="en-US" w:eastAsia="zh-CN" w:bidi="ar"/>
              </w:rPr>
            </w:pPr>
            <w:r>
              <w:rPr>
                <w:rFonts w:hint="eastAsia" w:cs="Times New Roman"/>
                <w:i w:val="0"/>
                <w:color w:val="auto"/>
                <w:kern w:val="0"/>
                <w:sz w:val="24"/>
                <w:szCs w:val="24"/>
                <w:vertAlign w:val="baseline"/>
                <w:lang w:val="en-US" w:eastAsia="zh-CN" w:bidi="ar"/>
              </w:rPr>
              <w:t>A</w:t>
            </w:r>
            <w:r>
              <w:rPr>
                <w:rFonts w:hint="default" w:ascii="Times New Roman" w:hAnsi="Times New Roman" w:cs="Times New Roman"/>
                <w:i w:val="0"/>
                <w:color w:val="auto"/>
                <w:kern w:val="0"/>
                <w:sz w:val="24"/>
                <w:szCs w:val="24"/>
                <w:vertAlign w:val="subscript"/>
                <w:lang w:val="en-US" w:eastAsia="zh-CN" w:bidi="ar"/>
              </w:rPr>
              <w:t>su</w:t>
            </w:r>
          </w:p>
        </w:tc>
        <w:tc>
          <w:tcPr>
            <w:tcW w:w="2468"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s="Times New Roman"/>
                <w:i w:val="0"/>
                <w:color w:val="auto"/>
                <w:kern w:val="0"/>
                <w:sz w:val="24"/>
                <w:szCs w:val="24"/>
                <w:vertAlign w:val="baseline"/>
                <w:lang w:val="en-US" w:eastAsia="zh-CN" w:bidi="ar"/>
              </w:rPr>
              <w:t>A</w:t>
            </w:r>
            <w:r>
              <w:rPr>
                <w:rFonts w:hint="default" w:ascii="Times New Roman" w:hAnsi="Times New Roman" w:cs="Times New Roman"/>
                <w:i w:val="0"/>
                <w:color w:val="auto"/>
                <w:kern w:val="0"/>
                <w:sz w:val="24"/>
                <w:szCs w:val="24"/>
                <w:vertAlign w:val="subscript"/>
                <w:lang w:val="en-US" w:eastAsia="zh-CN" w:bidi="ar"/>
              </w:rPr>
              <w:t>su</w:t>
            </w:r>
            <w:r>
              <w:rPr>
                <w:rFonts w:hint="eastAsia" w:asciiTheme="minorEastAsia" w:hAnsiTheme="minorEastAsia" w:eastAsiaTheme="minorEastAsia" w:cstheme="minorEastAsia"/>
                <w:color w:val="auto"/>
                <w:sz w:val="21"/>
                <w:szCs w:val="21"/>
              </w:rPr>
              <w:t>级的规定，不影响整体承载</w:t>
            </w:r>
          </w:p>
        </w:tc>
        <w:tc>
          <w:tcPr>
            <w:tcW w:w="1496"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lang w:val="en-US" w:eastAsia="zh-CN"/>
              </w:rPr>
              <w:t>不必</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38"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496" w:type="pct"/>
            <w:shd w:val="clear" w:color="auto" w:fill="auto"/>
            <w:vAlign w:val="center"/>
          </w:tcPr>
          <w:p>
            <w:pPr>
              <w:pStyle w:val="24"/>
              <w:bidi w:val="0"/>
              <w:ind w:firstLine="0" w:firstLineChars="0"/>
              <w:jc w:val="center"/>
              <w:rPr>
                <w:rFonts w:hint="default" w:hAnsi="Cambria Math" w:cs="宋体"/>
                <w:i w:val="0"/>
                <w:color w:val="auto"/>
                <w:kern w:val="0"/>
                <w:sz w:val="21"/>
                <w:szCs w:val="21"/>
                <w:lang w:val="en-US" w:eastAsia="zh-CN" w:bidi="ar"/>
              </w:rPr>
            </w:pPr>
            <w:r>
              <w:rPr>
                <w:rFonts w:hint="eastAsia" w:ascii="宋体" w:hAnsi="宋体" w:cs="宋体"/>
                <w:color w:val="auto"/>
                <w:kern w:val="0"/>
                <w:sz w:val="24"/>
                <w:szCs w:val="24"/>
                <w:lang w:val="en-US" w:eastAsia="zh-CN" w:bidi="ar"/>
              </w:rPr>
              <w:t>B</w:t>
            </w:r>
            <w:r>
              <w:rPr>
                <w:rFonts w:hint="default" w:ascii="Times New Roman" w:hAnsi="Times New Roman" w:cs="Times New Roman"/>
                <w:i w:val="0"/>
                <w:color w:val="auto"/>
                <w:kern w:val="0"/>
                <w:sz w:val="24"/>
                <w:szCs w:val="24"/>
                <w:vertAlign w:val="subscript"/>
                <w:lang w:val="en-US" w:eastAsia="zh-CN" w:bidi="ar"/>
              </w:rPr>
              <w:t>su</w:t>
            </w:r>
          </w:p>
        </w:tc>
        <w:tc>
          <w:tcPr>
            <w:tcW w:w="2468"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安全性略低于</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s="Times New Roman"/>
                <w:i w:val="0"/>
                <w:color w:val="auto"/>
                <w:kern w:val="0"/>
                <w:sz w:val="24"/>
                <w:szCs w:val="24"/>
                <w:vertAlign w:val="baseline"/>
                <w:lang w:val="en-US" w:eastAsia="zh-CN" w:bidi="ar"/>
              </w:rPr>
              <w:t>A</w:t>
            </w:r>
            <w:r>
              <w:rPr>
                <w:rFonts w:hint="default" w:ascii="Times New Roman" w:hAnsi="Times New Roman" w:cs="Times New Roman"/>
                <w:i w:val="0"/>
                <w:color w:val="auto"/>
                <w:kern w:val="0"/>
                <w:sz w:val="24"/>
                <w:szCs w:val="24"/>
                <w:vertAlign w:val="subscript"/>
                <w:lang w:val="en-US" w:eastAsia="zh-CN" w:bidi="ar"/>
              </w:rPr>
              <w:t>su</w:t>
            </w:r>
            <w:r>
              <w:rPr>
                <w:rFonts w:hint="eastAsia" w:asciiTheme="minorEastAsia" w:hAnsiTheme="minorEastAsia" w:eastAsiaTheme="minorEastAsia" w:cstheme="minorEastAsia"/>
                <w:color w:val="auto"/>
                <w:sz w:val="21"/>
                <w:szCs w:val="21"/>
              </w:rPr>
              <w:t>级的规定，尚不显著影响整体承载</w:t>
            </w:r>
          </w:p>
        </w:tc>
        <w:tc>
          <w:tcPr>
            <w:tcW w:w="1496"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可</w:t>
            </w:r>
            <w:r>
              <w:rPr>
                <w:rFonts w:hint="eastAsia" w:asciiTheme="minorEastAsia" w:hAnsiTheme="minorEastAsia" w:eastAsiaTheme="minorEastAsia" w:cstheme="minorEastAsia"/>
                <w:color w:val="auto"/>
                <w:sz w:val="21"/>
                <w:szCs w:val="21"/>
                <w:lang w:val="en-US" w:eastAsia="zh-CN"/>
              </w:rPr>
              <w:t>能有少数构件需</w:t>
            </w:r>
            <w:r>
              <w:rPr>
                <w:rFonts w:hint="eastAsia" w:asciiTheme="minorEastAsia" w:hAnsiTheme="minorEastAsia" w:eastAsiaTheme="minorEastAsia" w:cstheme="minorEastAsia"/>
                <w:color w:val="auto"/>
                <w:sz w:val="21"/>
                <w:szCs w:val="21"/>
              </w:rPr>
              <w:t>采取措施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38" w:type="pct"/>
            <w:vMerge w:val="continue"/>
            <w:vAlign w:val="center"/>
          </w:tcPr>
          <w:p>
            <w:pPr>
              <w:pStyle w:val="24"/>
              <w:bidi w:val="0"/>
              <w:jc w:val="center"/>
              <w:rPr>
                <w:rFonts w:hint="eastAsia" w:asciiTheme="minorEastAsia" w:hAnsiTheme="minorEastAsia" w:eastAsiaTheme="minorEastAsia" w:cstheme="minorEastAsia"/>
                <w:color w:val="auto"/>
                <w:sz w:val="21"/>
                <w:szCs w:val="21"/>
              </w:rPr>
            </w:pPr>
          </w:p>
        </w:tc>
        <w:tc>
          <w:tcPr>
            <w:tcW w:w="496" w:type="pct"/>
            <w:shd w:val="clear" w:color="auto" w:fill="auto"/>
            <w:vAlign w:val="center"/>
          </w:tcPr>
          <w:p>
            <w:pPr>
              <w:pStyle w:val="24"/>
              <w:bidi w:val="0"/>
              <w:ind w:firstLine="0" w:firstLineChars="0"/>
              <w:jc w:val="center"/>
              <w:rPr>
                <w:rFonts w:hint="eastAsia" w:hAnsi="Cambria Math" w:cs="宋体"/>
                <w:i w:val="0"/>
                <w:color w:val="auto"/>
                <w:kern w:val="0"/>
                <w:sz w:val="21"/>
                <w:szCs w:val="21"/>
                <w:lang w:val="en-US" w:eastAsia="zh-CN" w:bidi="ar"/>
              </w:rPr>
            </w:pP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w:p>
        </w:tc>
        <w:tc>
          <w:tcPr>
            <w:tcW w:w="2468"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en-US"/>
              </w:rPr>
            </w:pPr>
            <w:r>
              <w:rPr>
                <w:rFonts w:hint="eastAsia" w:asciiTheme="minorEastAsia" w:hAnsiTheme="minorEastAsia" w:eastAsiaTheme="minorEastAsia" w:cstheme="minorEastAsia"/>
                <w:color w:val="auto"/>
                <w:sz w:val="21"/>
                <w:szCs w:val="21"/>
              </w:rPr>
              <w:t>安全性不符合</w:t>
            </w:r>
            <w:r>
              <w:rPr>
                <w:rFonts w:hint="eastAsia" w:asciiTheme="minorEastAsia" w:hAnsiTheme="minorEastAsia" w:eastAsiaTheme="minorEastAsia" w:cstheme="minorEastAsia"/>
                <w:color w:val="auto"/>
                <w:sz w:val="21"/>
                <w:szCs w:val="21"/>
                <w:lang w:eastAsia="zh-CN"/>
              </w:rPr>
              <w:t>本导则</w:t>
            </w:r>
            <w:r>
              <w:rPr>
                <w:rFonts w:hint="eastAsia" w:asciiTheme="minorEastAsia" w:hAnsiTheme="minorEastAsia" w:eastAsiaTheme="minorEastAsia" w:cstheme="minorEastAsia"/>
                <w:color w:val="auto"/>
                <w:sz w:val="21"/>
                <w:szCs w:val="21"/>
              </w:rPr>
              <w:t>对</w:t>
            </w:r>
            <w:r>
              <w:rPr>
                <w:rFonts w:hint="eastAsia" w:cs="Times New Roman"/>
                <w:i w:val="0"/>
                <w:color w:val="auto"/>
                <w:kern w:val="0"/>
                <w:sz w:val="24"/>
                <w:szCs w:val="24"/>
                <w:vertAlign w:val="baseline"/>
                <w:lang w:val="en-US" w:eastAsia="zh-CN" w:bidi="ar"/>
              </w:rPr>
              <w:t>A</w:t>
            </w:r>
            <w:r>
              <w:rPr>
                <w:rFonts w:hint="default" w:ascii="Times New Roman" w:hAnsi="Times New Roman" w:cs="Times New Roman"/>
                <w:i w:val="0"/>
                <w:color w:val="auto"/>
                <w:kern w:val="0"/>
                <w:sz w:val="24"/>
                <w:szCs w:val="24"/>
                <w:vertAlign w:val="subscript"/>
                <w:lang w:val="en-US" w:eastAsia="zh-CN" w:bidi="ar"/>
              </w:rPr>
              <w:t>su</w:t>
            </w:r>
            <w:r>
              <w:rPr>
                <w:rFonts w:hint="eastAsia" w:asciiTheme="minorEastAsia" w:hAnsiTheme="minorEastAsia" w:eastAsiaTheme="minorEastAsia" w:cstheme="minorEastAsia"/>
                <w:color w:val="auto"/>
                <w:sz w:val="21"/>
                <w:szCs w:val="21"/>
              </w:rPr>
              <w:t>级的规定，显著影响整体承载</w:t>
            </w:r>
          </w:p>
        </w:tc>
        <w:tc>
          <w:tcPr>
            <w:tcW w:w="1496" w:type="pct"/>
            <w:shd w:val="clear" w:color="auto" w:fill="auto"/>
            <w:vAlign w:val="center"/>
          </w:tcPr>
          <w:p>
            <w:pPr>
              <w:pStyle w:val="24"/>
              <w:bidi w:val="0"/>
              <w:jc w:val="lef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转为常规鉴定</w:t>
            </w:r>
          </w:p>
        </w:tc>
      </w:tr>
    </w:tbl>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【条文说明】</w:t>
      </w:r>
    </w:p>
    <w:p>
      <w:pPr>
        <w:pStyle w:val="26"/>
        <w:numPr>
          <w:ilvl w:val="0"/>
          <w:numId w:val="8"/>
        </w:numPr>
        <w:bidi w:val="0"/>
        <w:rPr>
          <w:rFonts w:hint="eastAsia" w:ascii="Times New Roman" w:hAnsi="Times New Roman"/>
          <w:color w:val="auto"/>
          <w:lang w:val="en-US" w:eastAsia="zh-CN"/>
        </w:rPr>
      </w:pPr>
      <w:r>
        <w:rPr>
          <w:rFonts w:hint="eastAsia"/>
          <w:color w:val="auto"/>
          <w:lang w:val="en-US" w:eastAsia="zh-CN"/>
        </w:rPr>
        <w:t>本导则中安全性等级a</w:t>
      </w:r>
      <w:r>
        <w:rPr>
          <w:rFonts w:hint="eastAsia" w:hAnsi="Cambria Math" w:eastAsia="宋体" w:cs="宋体"/>
          <w:color w:val="auto"/>
          <w:vertAlign w:val="subscript"/>
          <w:lang w:val="en-US" w:eastAsia="zh-CN"/>
        </w:rPr>
        <w:t>u</w:t>
      </w:r>
      <w:r>
        <w:rPr>
          <w:rFonts w:hint="eastAsia"/>
          <w:color w:val="auto"/>
          <w:lang w:val="en-US" w:eastAsia="zh-CN"/>
        </w:rPr>
        <w:t>/A</w:t>
      </w:r>
      <w:r>
        <w:rPr>
          <w:rFonts w:hint="eastAsia" w:hAnsi="Cambria Math" w:eastAsia="宋体" w:cs="宋体"/>
          <w:color w:val="auto"/>
          <w:vertAlign w:val="subscript"/>
          <w:lang w:val="en-US" w:eastAsia="zh-CN"/>
        </w:rPr>
        <w:t>u</w:t>
      </w:r>
      <w:r>
        <w:rPr>
          <w:rFonts w:hint="eastAsia"/>
          <w:color w:val="auto"/>
          <w:lang w:val="en-US" w:eastAsia="zh-CN"/>
        </w:rPr>
        <w:t>/A</w:t>
      </w:r>
      <w:r>
        <w:rPr>
          <w:rFonts w:hint="eastAsia" w:hAnsi="Cambria Math" w:eastAsia="宋体" w:cs="宋体"/>
          <w:color w:val="auto"/>
          <w:vertAlign w:val="subscript"/>
          <w:lang w:val="en-US" w:eastAsia="zh-CN"/>
        </w:rPr>
        <w:t>su</w:t>
      </w:r>
      <w:r>
        <w:rPr>
          <w:rFonts w:hint="eastAsia"/>
          <w:color w:val="auto"/>
          <w:lang w:val="en-US" w:eastAsia="zh-CN"/>
        </w:rPr>
        <w:t>、b</w:t>
      </w:r>
      <w:r>
        <w:rPr>
          <w:rFonts w:hint="eastAsia" w:hAnsi="Cambria Math" w:eastAsia="宋体" w:cs="宋体"/>
          <w:color w:val="auto"/>
          <w:vertAlign w:val="subscript"/>
          <w:lang w:val="en-US" w:eastAsia="zh-CN"/>
        </w:rPr>
        <w:t>u</w:t>
      </w:r>
      <w:r>
        <w:rPr>
          <w:rFonts w:hint="eastAsia"/>
          <w:color w:val="auto"/>
          <w:lang w:val="en-US" w:eastAsia="zh-CN"/>
        </w:rPr>
        <w:t>/B</w:t>
      </w:r>
      <w:r>
        <w:rPr>
          <w:rFonts w:hint="eastAsia" w:hAnsi="Cambria Math" w:eastAsia="宋体" w:cs="宋体"/>
          <w:color w:val="auto"/>
          <w:vertAlign w:val="subscript"/>
          <w:lang w:val="en-US" w:eastAsia="zh-CN"/>
        </w:rPr>
        <w:t>u</w:t>
      </w:r>
      <w:r>
        <w:rPr>
          <w:rFonts w:hint="eastAsia"/>
          <w:color w:val="auto"/>
          <w:lang w:val="en-US" w:eastAsia="zh-CN"/>
        </w:rPr>
        <w:t>/B</w:t>
      </w:r>
      <w:r>
        <w:rPr>
          <w:rFonts w:hint="eastAsia" w:hAnsi="Cambria Math" w:eastAsia="宋体" w:cs="宋体"/>
          <w:color w:val="auto"/>
          <w:vertAlign w:val="subscript"/>
          <w:lang w:val="en-US" w:eastAsia="zh-CN"/>
        </w:rPr>
        <w:t>su</w:t>
      </w:r>
      <w:r>
        <w:rPr>
          <w:rFonts w:hint="eastAsia"/>
          <w:color w:val="auto"/>
          <w:lang w:val="en-US" w:eastAsia="zh-CN"/>
        </w:rPr>
        <w:t>、c</w:t>
      </w:r>
      <w:r>
        <w:rPr>
          <w:rFonts w:hint="eastAsia" w:hAnsi="Cambria Math" w:eastAsia="宋体" w:cs="宋体"/>
          <w:color w:val="auto"/>
          <w:vertAlign w:val="subscript"/>
          <w:lang w:val="en-US" w:eastAsia="zh-CN"/>
        </w:rPr>
        <w:t>u</w:t>
      </w:r>
      <w:r>
        <w:rPr>
          <w:rFonts w:hint="eastAsia"/>
          <w:color w:val="auto"/>
          <w:lang w:val="en-US" w:eastAsia="zh-CN"/>
        </w:rPr>
        <w:t>/C</w:t>
      </w:r>
      <w:r>
        <w:rPr>
          <w:rFonts w:hint="eastAsia" w:hAnsi="Cambria Math" w:eastAsia="宋体" w:cs="宋体"/>
          <w:color w:val="auto"/>
          <w:vertAlign w:val="subscript"/>
          <w:lang w:val="en-US" w:eastAsia="zh-CN"/>
        </w:rPr>
        <w:t>u</w:t>
      </w:r>
      <w:r>
        <w:rPr>
          <w:rFonts w:hint="eastAsia"/>
          <w:color w:val="auto"/>
          <w:lang w:val="en-US" w:eastAsia="zh-CN"/>
        </w:rPr>
        <w:t>/C</w:t>
      </w:r>
      <w:r>
        <w:rPr>
          <w:rFonts w:hint="eastAsia" w:hAnsi="Cambria Math" w:eastAsia="宋体" w:cs="宋体"/>
          <w:color w:val="auto"/>
          <w:vertAlign w:val="subscript"/>
          <w:lang w:val="en-US" w:eastAsia="zh-CN"/>
        </w:rPr>
        <w:t>su</w:t>
      </w:r>
      <w:r>
        <w:rPr>
          <w:rFonts w:hint="eastAsia"/>
          <w:color w:val="auto"/>
          <w:lang w:val="en-US" w:eastAsia="zh-CN"/>
        </w:rPr>
        <w:t>对应于《民用建筑可靠性鉴定标准》GB50292-2015中的a</w:t>
      </w:r>
      <w:r>
        <w:rPr>
          <w:rFonts w:hint="eastAsia" w:hAnsi="Cambria Math" w:eastAsia="宋体" w:cs="宋体"/>
          <w:color w:val="auto"/>
          <w:vertAlign w:val="subscript"/>
          <w:lang w:val="en-US" w:eastAsia="zh-CN"/>
        </w:rPr>
        <w:t>u</w:t>
      </w:r>
      <w:r>
        <w:rPr>
          <w:rFonts w:hint="eastAsia"/>
          <w:color w:val="auto"/>
          <w:lang w:val="en-US" w:eastAsia="zh-CN"/>
        </w:rPr>
        <w:t>/A</w:t>
      </w:r>
      <w:r>
        <w:rPr>
          <w:rFonts w:hint="eastAsia" w:hAnsi="Cambria Math" w:eastAsia="宋体" w:cs="宋体"/>
          <w:color w:val="auto"/>
          <w:vertAlign w:val="subscript"/>
          <w:lang w:val="en-US" w:eastAsia="zh-CN"/>
        </w:rPr>
        <w:t>u</w:t>
      </w:r>
      <w:r>
        <w:rPr>
          <w:rFonts w:hint="eastAsia"/>
          <w:color w:val="auto"/>
          <w:lang w:val="en-US" w:eastAsia="zh-CN"/>
        </w:rPr>
        <w:t>/A</w:t>
      </w:r>
      <w:r>
        <w:rPr>
          <w:rFonts w:hint="eastAsia" w:hAnsi="Cambria Math" w:eastAsia="宋体" w:cs="宋体"/>
          <w:color w:val="auto"/>
          <w:vertAlign w:val="subscript"/>
          <w:lang w:val="en-US" w:eastAsia="zh-CN"/>
        </w:rPr>
        <w:t>su</w:t>
      </w:r>
      <w:r>
        <w:rPr>
          <w:rFonts w:hint="eastAsia"/>
          <w:color w:val="auto"/>
          <w:lang w:val="en-US" w:eastAsia="zh-CN"/>
        </w:rPr>
        <w:t>、b</w:t>
      </w:r>
      <w:r>
        <w:rPr>
          <w:rFonts w:hint="eastAsia" w:hAnsi="Cambria Math" w:eastAsia="宋体" w:cs="宋体"/>
          <w:color w:val="auto"/>
          <w:vertAlign w:val="subscript"/>
          <w:lang w:val="en-US" w:eastAsia="zh-CN"/>
        </w:rPr>
        <w:t>u</w:t>
      </w:r>
      <w:r>
        <w:rPr>
          <w:rFonts w:hint="eastAsia"/>
          <w:color w:val="auto"/>
          <w:lang w:val="en-US" w:eastAsia="zh-CN"/>
        </w:rPr>
        <w:t>/B</w:t>
      </w:r>
      <w:r>
        <w:rPr>
          <w:rFonts w:hint="eastAsia" w:hAnsi="Cambria Math" w:eastAsia="宋体" w:cs="宋体"/>
          <w:color w:val="auto"/>
          <w:vertAlign w:val="subscript"/>
          <w:lang w:val="en-US" w:eastAsia="zh-CN"/>
        </w:rPr>
        <w:t>u</w:t>
      </w:r>
      <w:r>
        <w:rPr>
          <w:rFonts w:hint="eastAsia"/>
          <w:color w:val="auto"/>
          <w:lang w:val="en-US" w:eastAsia="zh-CN"/>
        </w:rPr>
        <w:t>/B</w:t>
      </w:r>
      <w:r>
        <w:rPr>
          <w:rFonts w:hint="eastAsia" w:hAnsi="Cambria Math" w:eastAsia="宋体" w:cs="宋体"/>
          <w:color w:val="auto"/>
          <w:vertAlign w:val="subscript"/>
          <w:lang w:val="en-US" w:eastAsia="zh-CN"/>
        </w:rPr>
        <w:t>su</w:t>
      </w:r>
      <w:r>
        <w:rPr>
          <w:rFonts w:hint="eastAsia"/>
          <w:color w:val="auto"/>
          <w:lang w:val="en-US" w:eastAsia="zh-CN"/>
        </w:rPr>
        <w:t>、c</w:t>
      </w:r>
      <w:r>
        <w:rPr>
          <w:rFonts w:hint="eastAsia" w:hAnsi="Cambria Math" w:eastAsia="宋体" w:cs="宋体"/>
          <w:color w:val="auto"/>
          <w:vertAlign w:val="subscript"/>
          <w:lang w:val="en-US" w:eastAsia="zh-CN"/>
        </w:rPr>
        <w:t>u</w:t>
      </w:r>
      <w:r>
        <w:rPr>
          <w:rFonts w:hint="eastAsia"/>
          <w:color w:val="auto"/>
          <w:lang w:val="en-US" w:eastAsia="zh-CN"/>
        </w:rPr>
        <w:t>/C</w:t>
      </w:r>
      <w:r>
        <w:rPr>
          <w:rFonts w:hint="eastAsia" w:hAnsi="Cambria Math" w:eastAsia="宋体" w:cs="宋体"/>
          <w:color w:val="auto"/>
          <w:vertAlign w:val="subscript"/>
          <w:lang w:val="en-US" w:eastAsia="zh-CN"/>
        </w:rPr>
        <w:t>u</w:t>
      </w:r>
      <w:r>
        <w:rPr>
          <w:rFonts w:hint="eastAsia"/>
          <w:color w:val="auto"/>
          <w:lang w:val="en-US" w:eastAsia="zh-CN"/>
        </w:rPr>
        <w:t>/C</w:t>
      </w:r>
      <w:r>
        <w:rPr>
          <w:rFonts w:hint="eastAsia" w:hAnsi="Cambria Math" w:eastAsia="宋体" w:cs="宋体"/>
          <w:color w:val="auto"/>
          <w:vertAlign w:val="subscript"/>
          <w:lang w:val="en-US" w:eastAsia="zh-CN"/>
        </w:rPr>
        <w:t>su</w:t>
      </w:r>
      <w:r>
        <w:rPr>
          <w:rFonts w:hint="eastAsia"/>
          <w:color w:val="auto"/>
          <w:lang w:val="en-US" w:eastAsia="zh-CN"/>
        </w:rPr>
        <w:t>级，未设置d</w:t>
      </w:r>
      <w:r>
        <w:rPr>
          <w:rFonts w:hint="eastAsia" w:hAnsi="Cambria Math" w:eastAsia="宋体" w:cs="宋体"/>
          <w:color w:val="auto"/>
          <w:vertAlign w:val="subscript"/>
          <w:lang w:val="en-US" w:eastAsia="zh-CN"/>
        </w:rPr>
        <w:t>u</w:t>
      </w:r>
      <w:r>
        <w:rPr>
          <w:rFonts w:hint="eastAsia"/>
          <w:color w:val="auto"/>
          <w:lang w:val="en-US" w:eastAsia="zh-CN"/>
        </w:rPr>
        <w:t>/D</w:t>
      </w:r>
      <w:r>
        <w:rPr>
          <w:rFonts w:hint="eastAsia" w:hAnsi="Cambria Math" w:eastAsia="宋体" w:cs="宋体"/>
          <w:color w:val="auto"/>
          <w:vertAlign w:val="subscript"/>
          <w:lang w:val="en-US" w:eastAsia="zh-CN"/>
        </w:rPr>
        <w:t>u</w:t>
      </w:r>
      <w:r>
        <w:rPr>
          <w:rFonts w:hint="eastAsia"/>
          <w:color w:val="auto"/>
          <w:lang w:val="en-US" w:eastAsia="zh-CN"/>
        </w:rPr>
        <w:t>/D</w:t>
      </w:r>
      <w:r>
        <w:rPr>
          <w:rFonts w:hint="eastAsia" w:hAnsi="Cambria Math" w:eastAsia="宋体" w:cs="宋体"/>
          <w:color w:val="auto"/>
          <w:vertAlign w:val="subscript"/>
          <w:lang w:val="en-US" w:eastAsia="zh-CN"/>
        </w:rPr>
        <w:t>su</w:t>
      </w:r>
      <w:r>
        <w:rPr>
          <w:rFonts w:hint="eastAsia"/>
          <w:color w:val="auto"/>
          <w:lang w:val="en-US" w:eastAsia="zh-CN"/>
        </w:rPr>
        <w:t>，因此评为C</w:t>
      </w:r>
      <w:r>
        <w:rPr>
          <w:rFonts w:hint="eastAsia" w:hAnsi="Cambria Math" w:eastAsia="宋体" w:cs="宋体"/>
          <w:color w:val="auto"/>
          <w:vertAlign w:val="subscript"/>
          <w:lang w:val="en-US" w:eastAsia="zh-CN"/>
        </w:rPr>
        <w:t>u</w:t>
      </w:r>
      <w:r>
        <w:rPr>
          <w:rFonts w:hint="eastAsia"/>
          <w:color w:val="auto"/>
          <w:lang w:val="en-US" w:eastAsia="zh-CN"/>
        </w:rPr>
        <w:t>/C</w:t>
      </w:r>
      <w:r>
        <w:rPr>
          <w:rFonts w:hint="eastAsia" w:hAnsi="Cambria Math" w:eastAsia="宋体" w:cs="宋体"/>
          <w:color w:val="auto"/>
          <w:vertAlign w:val="subscript"/>
          <w:lang w:val="en-US" w:eastAsia="zh-CN"/>
        </w:rPr>
        <w:t>su</w:t>
      </w:r>
      <w:r>
        <w:rPr>
          <w:rFonts w:hint="eastAsia"/>
          <w:color w:val="auto"/>
          <w:lang w:val="en-US" w:eastAsia="zh-CN"/>
        </w:rPr>
        <w:t>级时需增加检测量，转为常规鉴定。</w:t>
      </w:r>
    </w:p>
    <w:p>
      <w:pPr>
        <w:pStyle w:val="26"/>
        <w:numPr>
          <w:ilvl w:val="0"/>
          <w:numId w:val="8"/>
        </w:numPr>
        <w:bidi w:val="0"/>
        <w:rPr>
          <w:rFonts w:hint="eastAsia" w:ascii="Times New Roman" w:hAnsi="Times New Roman"/>
          <w:color w:val="auto"/>
          <w:lang w:val="en-US" w:eastAsia="zh-CN"/>
        </w:rPr>
      </w:pPr>
      <w:r>
        <w:rPr>
          <w:rFonts w:hint="eastAsia" w:ascii="Times New Roman" w:hAnsi="Times New Roman"/>
          <w:color w:val="auto"/>
          <w:lang w:val="en-US" w:eastAsia="zh-CN"/>
        </w:rPr>
        <w:t>肉眼观察无变形、裂缝、损伤</w:t>
      </w:r>
      <w:r>
        <w:rPr>
          <w:rFonts w:hint="eastAsia"/>
          <w:color w:val="auto"/>
          <w:lang w:val="en-US" w:eastAsia="zh-CN"/>
        </w:rPr>
        <w:t>的</w:t>
      </w:r>
      <w:r>
        <w:rPr>
          <w:rFonts w:hint="eastAsia" w:ascii="Times New Roman" w:hAnsi="Times New Roman"/>
          <w:color w:val="auto"/>
          <w:lang w:val="en-US" w:eastAsia="zh-CN"/>
        </w:rPr>
        <w:t>构件</w:t>
      </w:r>
      <w:r>
        <w:rPr>
          <w:rFonts w:hint="eastAsia"/>
          <w:color w:val="auto"/>
          <w:lang w:val="en-US" w:eastAsia="zh-CN"/>
        </w:rPr>
        <w:t>可评为</w:t>
      </w:r>
      <w:r>
        <w:rPr>
          <w:rFonts w:hint="eastAsia" w:ascii="Times New Roman" w:hAnsi="Times New Roman"/>
          <w:color w:val="auto"/>
          <w:lang w:val="en-US" w:eastAsia="zh-CN"/>
        </w:rPr>
        <w:t>a</w:t>
      </w:r>
      <w:r>
        <w:rPr>
          <w:rFonts w:hint="eastAsia" w:hAnsi="Cambria Math" w:eastAsia="宋体" w:cs="宋体"/>
          <w:color w:val="auto"/>
          <w:vertAlign w:val="subscript"/>
          <w:lang w:val="en-US" w:eastAsia="zh-CN"/>
        </w:rPr>
        <w:t>u</w:t>
      </w:r>
      <w:r>
        <w:rPr>
          <w:rFonts w:hint="eastAsia" w:ascii="Times New Roman" w:hAnsi="Times New Roman"/>
          <w:color w:val="auto"/>
          <w:lang w:val="en-US" w:eastAsia="zh-CN"/>
        </w:rPr>
        <w:t>级</w:t>
      </w:r>
      <w:r>
        <w:rPr>
          <w:rFonts w:hint="eastAsia"/>
          <w:color w:val="auto"/>
          <w:lang w:val="en-US" w:eastAsia="zh-CN"/>
        </w:rPr>
        <w:t>；</w:t>
      </w:r>
      <w:r>
        <w:rPr>
          <w:rFonts w:hint="eastAsia" w:ascii="Times New Roman" w:hAnsi="Times New Roman"/>
          <w:color w:val="auto"/>
          <w:lang w:val="en-US" w:eastAsia="zh-CN"/>
        </w:rPr>
        <w:t>变形、裂缝、损伤</w:t>
      </w:r>
      <w:r>
        <w:rPr>
          <w:rFonts w:hint="eastAsia"/>
          <w:color w:val="auto"/>
          <w:lang w:val="en-US" w:eastAsia="zh-CN"/>
        </w:rPr>
        <w:t>项目的</w:t>
      </w:r>
      <w:r>
        <w:rPr>
          <w:rFonts w:hint="eastAsia" w:ascii="Times New Roman" w:hAnsi="Times New Roman"/>
          <w:color w:val="auto"/>
          <w:lang w:val="en-US" w:eastAsia="zh-CN"/>
        </w:rPr>
        <w:t>检测值已超限值</w:t>
      </w:r>
      <w:r>
        <w:rPr>
          <w:rFonts w:hint="eastAsia"/>
          <w:color w:val="auto"/>
          <w:lang w:val="en-US" w:eastAsia="zh-CN"/>
        </w:rPr>
        <w:t>且</w:t>
      </w:r>
      <w:r>
        <w:rPr>
          <w:rFonts w:hint="eastAsia" w:ascii="Times New Roman" w:hAnsi="Times New Roman"/>
          <w:color w:val="auto"/>
          <w:lang w:val="en-US" w:eastAsia="zh-CN"/>
        </w:rPr>
        <w:t>承载力验算结果不满足规定要求</w:t>
      </w:r>
      <w:r>
        <w:rPr>
          <w:rFonts w:hint="eastAsia"/>
          <w:color w:val="auto"/>
          <w:lang w:val="en-US" w:eastAsia="zh-CN"/>
        </w:rPr>
        <w:t>的</w:t>
      </w:r>
      <w:r>
        <w:rPr>
          <w:rFonts w:hint="eastAsia" w:ascii="Times New Roman" w:hAnsi="Times New Roman"/>
          <w:color w:val="auto"/>
          <w:lang w:val="en-US" w:eastAsia="zh-CN"/>
        </w:rPr>
        <w:t>构件</w:t>
      </w:r>
      <w:r>
        <w:rPr>
          <w:rFonts w:hint="eastAsia"/>
          <w:color w:val="auto"/>
          <w:lang w:val="en-US" w:eastAsia="zh-CN"/>
        </w:rPr>
        <w:t>可评为</w:t>
      </w:r>
      <w:r>
        <w:rPr>
          <w:rFonts w:hint="eastAsia" w:ascii="Times New Roman" w:hAnsi="Times New Roman"/>
          <w:color w:val="auto"/>
          <w:lang w:val="en-US" w:eastAsia="zh-CN"/>
        </w:rPr>
        <w:t>c</w:t>
      </w:r>
      <w:r>
        <w:rPr>
          <w:rFonts w:hint="eastAsia" w:hAnsi="Cambria Math" w:eastAsia="宋体" w:cs="宋体"/>
          <w:color w:val="auto"/>
          <w:vertAlign w:val="subscript"/>
          <w:lang w:val="en-US" w:eastAsia="zh-CN"/>
        </w:rPr>
        <w:t>u</w:t>
      </w:r>
      <w:r>
        <w:rPr>
          <w:rFonts w:hint="eastAsia" w:ascii="Times New Roman" w:hAnsi="Times New Roman"/>
          <w:color w:val="auto"/>
          <w:lang w:val="en-US" w:eastAsia="zh-CN"/>
        </w:rPr>
        <w:t>级</w:t>
      </w:r>
      <w:r>
        <w:rPr>
          <w:rFonts w:hint="eastAsia"/>
          <w:color w:val="auto"/>
          <w:lang w:val="en-US" w:eastAsia="zh-CN"/>
        </w:rPr>
        <w:t>，对于验算分析困难的构件可直接评为c</w:t>
      </w:r>
      <w:r>
        <w:rPr>
          <w:rFonts w:hint="eastAsia" w:hAnsi="Cambria Math" w:eastAsia="宋体" w:cs="宋体"/>
          <w:color w:val="auto"/>
          <w:vertAlign w:val="subscript"/>
          <w:lang w:val="en-US" w:eastAsia="zh-CN"/>
        </w:rPr>
        <w:t>u</w:t>
      </w:r>
      <w:r>
        <w:rPr>
          <w:rFonts w:hint="eastAsia"/>
          <w:color w:val="auto"/>
          <w:lang w:val="en-US" w:eastAsia="zh-CN"/>
        </w:rPr>
        <w:t>级；其余情况的构件可评为b</w:t>
      </w:r>
      <w:r>
        <w:rPr>
          <w:rFonts w:hint="eastAsia" w:hAnsi="Cambria Math" w:eastAsia="宋体" w:cs="宋体"/>
          <w:color w:val="auto"/>
          <w:vertAlign w:val="subscript"/>
          <w:lang w:val="en-US" w:eastAsia="zh-CN"/>
        </w:rPr>
        <w:t>u</w:t>
      </w:r>
      <w:r>
        <w:rPr>
          <w:rFonts w:hint="eastAsia"/>
          <w:color w:val="auto"/>
          <w:lang w:val="en-US" w:eastAsia="zh-CN"/>
        </w:rPr>
        <w:t>级</w:t>
      </w:r>
      <w:r>
        <w:rPr>
          <w:rFonts w:hint="eastAsia" w:ascii="Times New Roman" w:hAnsi="Times New Roman"/>
          <w:color w:val="auto"/>
          <w:lang w:val="en-US" w:eastAsia="zh-CN"/>
        </w:rPr>
        <w:t>。</w:t>
      </w:r>
    </w:p>
    <w:p>
      <w:pPr>
        <w:pStyle w:val="26"/>
        <w:bidi w:val="0"/>
        <w:rPr>
          <w:rFonts w:hint="eastAsia" w:ascii="Times New Roman" w:hAnsi="Times New Roman"/>
          <w:color w:val="auto"/>
          <w:lang w:val="en-US" w:eastAsia="zh-CN"/>
        </w:rPr>
      </w:pPr>
      <w:r>
        <w:rPr>
          <w:rFonts w:hint="eastAsia"/>
          <w:color w:val="auto"/>
          <w:lang w:val="en-US" w:eastAsia="zh-CN"/>
        </w:rPr>
        <w:t>3</w:t>
      </w:r>
      <w:r>
        <w:rPr>
          <w:rFonts w:hint="eastAsia" w:ascii="Times New Roman" w:hAnsi="Times New Roman"/>
          <w:color w:val="auto"/>
          <w:lang w:val="en-US" w:eastAsia="zh-CN"/>
        </w:rPr>
        <w:t>、</w:t>
      </w:r>
      <w:r>
        <w:rPr>
          <w:rFonts w:hint="eastAsia"/>
          <w:color w:val="auto"/>
          <w:lang w:val="en-US" w:eastAsia="zh-CN"/>
        </w:rPr>
        <w:t>A</w:t>
      </w:r>
      <w:r>
        <w:rPr>
          <w:rFonts w:hint="eastAsia"/>
          <w:color w:val="auto"/>
          <w:vertAlign w:val="subscript"/>
          <w:lang w:val="en-US" w:eastAsia="zh-CN"/>
        </w:rPr>
        <w:t>u</w:t>
      </w:r>
      <w:r>
        <w:rPr>
          <w:rFonts w:hint="eastAsia" w:ascii="Times New Roman" w:hAnsi="Times New Roman"/>
          <w:color w:val="auto"/>
          <w:lang w:val="en-US" w:eastAsia="zh-CN"/>
        </w:rPr>
        <w:t>级指各方面均完好的情况，结构、构件的构造合理，连接方式正确，构件无变形、裂缝、损伤，相关检测项目符合设计及相关规范要求；</w:t>
      </w:r>
    </w:p>
    <w:p>
      <w:pPr>
        <w:pStyle w:val="26"/>
        <w:bidi w:val="0"/>
        <w:rPr>
          <w:rFonts w:hint="eastAsia" w:ascii="Times New Roman" w:hAnsi="Times New Roman"/>
          <w:color w:val="auto"/>
          <w:lang w:val="en-US" w:eastAsia="zh-CN"/>
        </w:rPr>
      </w:pPr>
      <w:r>
        <w:rPr>
          <w:rFonts w:hint="eastAsia"/>
          <w:color w:val="auto"/>
          <w:lang w:val="en-US" w:eastAsia="zh-CN"/>
        </w:rPr>
        <w:t>B</w:t>
      </w:r>
      <w:r>
        <w:rPr>
          <w:rFonts w:hint="eastAsia"/>
          <w:color w:val="auto"/>
          <w:vertAlign w:val="subscript"/>
          <w:lang w:val="en-US" w:eastAsia="zh-CN"/>
        </w:rPr>
        <w:t>u</w:t>
      </w:r>
      <w:r>
        <w:rPr>
          <w:rFonts w:hint="eastAsia" w:ascii="Times New Roman" w:hAnsi="Times New Roman"/>
          <w:color w:val="auto"/>
          <w:lang w:val="en-US" w:eastAsia="zh-CN"/>
        </w:rPr>
        <w:t>级“略低于”包含三个方面：</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1）结构、构件的构造基本合理，连接方式基本正确，构件存在轻微裂缝、损伤未超正常使用极限状态限值，对构件的承载力基本没有影响。</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2）检测检查结果对安全性有一定影响，计算结果显示主要构件承载力不低于规定的95%，一般构件承载力不低于规定的90%。</w:t>
      </w:r>
    </w:p>
    <w:p>
      <w:pPr>
        <w:pStyle w:val="26"/>
        <w:bidi w:val="0"/>
        <w:rPr>
          <w:rFonts w:hint="eastAsia"/>
          <w:color w:val="auto"/>
          <w:lang w:val="en-US" w:eastAsia="zh-CN"/>
        </w:rPr>
      </w:pPr>
      <w:r>
        <w:rPr>
          <w:rFonts w:hint="eastAsia"/>
          <w:color w:val="auto"/>
          <w:lang w:val="en-US" w:eastAsia="zh-CN"/>
        </w:rPr>
        <w:t>3）检测结果对安全性影响较大，承载力低于上述要求，但超限的构件数量比例在B</w:t>
      </w:r>
      <w:r>
        <w:rPr>
          <w:rFonts w:hint="eastAsia"/>
          <w:color w:val="auto"/>
          <w:vertAlign w:val="subscript"/>
          <w:lang w:val="en-US" w:eastAsia="zh-CN"/>
        </w:rPr>
        <w:t>u</w:t>
      </w:r>
      <w:r>
        <w:rPr>
          <w:rFonts w:hint="eastAsia"/>
          <w:color w:val="auto"/>
          <w:lang w:val="en-US" w:eastAsia="zh-CN"/>
        </w:rPr>
        <w:t>级规定的范围内，且对结构整体不构成显著影响（构件破坏对结构体系传力路线无影响或影响很小，因受力引起裂缝、损伤未达到正常使用极限状态标志）。</w:t>
      </w:r>
    </w:p>
    <w:p>
      <w:pPr>
        <w:pStyle w:val="26"/>
        <w:bidi w:val="0"/>
        <w:rPr>
          <w:rFonts w:hint="eastAsia" w:ascii="Times New Roman" w:hAnsi="Times New Roman"/>
          <w:color w:val="auto"/>
          <w:lang w:val="en-US" w:eastAsia="zh-CN"/>
        </w:rPr>
      </w:pPr>
      <w:r>
        <w:rPr>
          <w:rFonts w:hint="eastAsia"/>
          <w:color w:val="auto"/>
          <w:lang w:val="en-US" w:eastAsia="zh-CN"/>
        </w:rPr>
        <w:t>4</w:t>
      </w:r>
      <w:r>
        <w:rPr>
          <w:rFonts w:hint="eastAsia" w:ascii="Times New Roman" w:hAnsi="Times New Roman"/>
          <w:color w:val="auto"/>
          <w:lang w:val="en-US" w:eastAsia="zh-CN"/>
        </w:rPr>
        <w:t>、</w:t>
      </w:r>
      <w:r>
        <w:rPr>
          <w:rFonts w:hint="eastAsia"/>
          <w:color w:val="auto"/>
          <w:lang w:val="en-US" w:eastAsia="zh-CN"/>
        </w:rPr>
        <w:t>C</w:t>
      </w:r>
      <w:r>
        <w:rPr>
          <w:rFonts w:hint="eastAsia"/>
          <w:color w:val="auto"/>
          <w:vertAlign w:val="subscript"/>
          <w:lang w:val="en-US" w:eastAsia="zh-CN"/>
        </w:rPr>
        <w:t>u</w:t>
      </w:r>
      <w:r>
        <w:rPr>
          <w:rFonts w:hint="eastAsia" w:ascii="Times New Roman" w:hAnsi="Times New Roman"/>
          <w:color w:val="auto"/>
          <w:lang w:val="en-US" w:eastAsia="zh-CN"/>
        </w:rPr>
        <w:t>级与</w:t>
      </w:r>
      <w:r>
        <w:rPr>
          <w:rFonts w:hint="eastAsia"/>
          <w:color w:val="auto"/>
          <w:lang w:val="en-US" w:eastAsia="zh-CN"/>
        </w:rPr>
        <w:t>B</w:t>
      </w:r>
      <w:r>
        <w:rPr>
          <w:rFonts w:hint="eastAsia"/>
          <w:color w:val="auto"/>
          <w:vertAlign w:val="subscript"/>
          <w:lang w:val="en-US" w:eastAsia="zh-CN"/>
        </w:rPr>
        <w:t>u</w:t>
      </w:r>
      <w:r>
        <w:rPr>
          <w:rFonts w:hint="eastAsia" w:ascii="Times New Roman" w:hAnsi="Times New Roman"/>
          <w:color w:val="auto"/>
          <w:lang w:val="en-US" w:eastAsia="zh-CN"/>
        </w:rPr>
        <w:t>级的区别主要是超限的构件数量比例超过</w:t>
      </w:r>
      <w:r>
        <w:rPr>
          <w:rFonts w:hint="eastAsia"/>
          <w:color w:val="auto"/>
          <w:lang w:val="en-US" w:eastAsia="zh-CN"/>
        </w:rPr>
        <w:t>B</w:t>
      </w:r>
      <w:r>
        <w:rPr>
          <w:rFonts w:hint="eastAsia"/>
          <w:color w:val="auto"/>
          <w:vertAlign w:val="subscript"/>
          <w:lang w:val="en-US" w:eastAsia="zh-CN"/>
        </w:rPr>
        <w:t>u</w:t>
      </w:r>
      <w:r>
        <w:rPr>
          <w:rFonts w:hint="eastAsia" w:ascii="Times New Roman" w:hAnsi="Times New Roman"/>
          <w:color w:val="auto"/>
          <w:lang w:val="en-US" w:eastAsia="zh-CN"/>
        </w:rPr>
        <w:t>级标准或构件破坏会显著影响结构体系传力路线。</w:t>
      </w:r>
    </w:p>
    <w:p>
      <w:pPr>
        <w:pStyle w:val="5"/>
        <w:bidi w:val="0"/>
        <w:ind w:left="0" w:leftChars="0" w:firstLine="0" w:firstLineChars="0"/>
        <w:rPr>
          <w:rFonts w:hint="eastAsia"/>
          <w:color w:val="auto"/>
          <w:lang w:val="en-US" w:eastAsia="zh-CN"/>
        </w:rPr>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pPr>
      <w:r>
        <w:rPr>
          <w:rFonts w:hint="eastAsia"/>
          <w:color w:val="auto"/>
          <w:lang w:val="en-US" w:eastAsia="zh-CN"/>
        </w:rPr>
        <w:t>建筑结构所承受作用在后续工作期间可能发生显著变化、受周边施工或其他因素影响时，应分析不利影响，并应在鉴定报告中予以说明。</w:t>
      </w:r>
    </w:p>
    <w:p>
      <w:pPr>
        <w:pStyle w:val="2"/>
        <w:bidi w:val="0"/>
        <w:ind w:left="0" w:leftChars="0" w:firstLine="0" w:firstLineChars="0"/>
        <w:rPr>
          <w:rFonts w:hint="default"/>
          <w:color w:val="auto"/>
          <w:lang w:val="en-US" w:eastAsia="zh-CN"/>
        </w:rPr>
      </w:pPr>
      <w:bookmarkStart w:id="45" w:name="_Toc23749"/>
      <w:bookmarkStart w:id="46" w:name="_Toc25208"/>
      <w:r>
        <w:rPr>
          <w:rFonts w:hint="eastAsia"/>
          <w:color w:val="auto"/>
          <w:lang w:val="en-US" w:eastAsia="zh-CN"/>
        </w:rPr>
        <w:t>鉴定评级</w:t>
      </w:r>
      <w:bookmarkEnd w:id="45"/>
      <w:bookmarkEnd w:id="46"/>
    </w:p>
    <w:p>
      <w:pPr>
        <w:pStyle w:val="3"/>
        <w:bidi w:val="0"/>
        <w:ind w:left="0" w:leftChars="0" w:firstLine="0" w:firstLineChars="0"/>
        <w:rPr>
          <w:rFonts w:hint="default"/>
          <w:color w:val="auto"/>
          <w:lang w:val="en-US" w:eastAsia="zh-CN"/>
        </w:rPr>
      </w:pPr>
      <w:bookmarkStart w:id="47" w:name="_Toc14933"/>
      <w:bookmarkStart w:id="48" w:name="_Toc23661"/>
      <w:r>
        <w:rPr>
          <w:rFonts w:hint="eastAsia"/>
          <w:color w:val="auto"/>
          <w:lang w:val="en-US" w:eastAsia="zh-CN"/>
        </w:rPr>
        <w:t>地基基础</w:t>
      </w:r>
      <w:bookmarkEnd w:id="47"/>
      <w:bookmarkEnd w:id="48"/>
    </w:p>
    <w:p>
      <w:pPr>
        <w:pStyle w:val="5"/>
        <w:bidi w:val="0"/>
        <w:ind w:left="0" w:leftChars="0" w:firstLine="0" w:firstLineChars="0"/>
        <w:rPr>
          <w:rFonts w:hint="eastAsia"/>
          <w:color w:val="auto"/>
          <w:lang w:val="en-US" w:eastAsia="zh-CN"/>
        </w:rPr>
      </w:pPr>
      <w:r>
        <w:rPr>
          <w:rFonts w:hint="eastAsia"/>
          <w:color w:val="auto"/>
          <w:lang w:val="en-US" w:eastAsia="zh-CN"/>
        </w:rPr>
        <w:t>地基基础的安全性鉴定评级，应根据地基变形情况或地基承载力分析结果进行确定；对建在斜坡场地的建筑物，还应结合边坡场地稳定性进行确定。</w:t>
      </w:r>
    </w:p>
    <w:p>
      <w:pPr>
        <w:pStyle w:val="5"/>
        <w:bidi w:val="0"/>
        <w:ind w:left="0" w:leftChars="0" w:firstLine="0" w:firstLineChars="0"/>
        <w:rPr>
          <w:rFonts w:hint="eastAsia"/>
          <w:color w:val="auto"/>
          <w:lang w:val="en-US" w:eastAsia="zh-CN"/>
        </w:rPr>
      </w:pPr>
      <w:r>
        <w:rPr>
          <w:rFonts w:hint="eastAsia"/>
          <w:color w:val="auto"/>
          <w:lang w:val="en-US" w:eastAsia="zh-CN"/>
        </w:rPr>
        <w:t>地基基础的安全性鉴定应符合下列规定：</w:t>
      </w:r>
    </w:p>
    <w:p>
      <w:pPr>
        <w:pStyle w:val="36"/>
        <w:bidi w:val="0"/>
        <w:rPr>
          <w:rFonts w:hint="eastAsia"/>
          <w:color w:val="auto"/>
          <w:lang w:val="en-US" w:eastAsia="zh-CN"/>
        </w:rPr>
      </w:pPr>
      <w:r>
        <w:rPr>
          <w:rFonts w:hint="eastAsia"/>
          <w:color w:val="auto"/>
          <w:lang w:val="en-US" w:eastAsia="zh-CN"/>
        </w:rPr>
        <w:t>一般情况下，宜根据不均匀沉降引起上部结构反应的检查结果以及地基、基础沉降观测资料进行鉴定评级；</w:t>
      </w:r>
    </w:p>
    <w:p>
      <w:pPr>
        <w:pStyle w:val="36"/>
        <w:bidi w:val="0"/>
        <w:rPr>
          <w:rFonts w:hint="eastAsia"/>
          <w:color w:val="auto"/>
          <w:lang w:val="en-US" w:eastAsia="zh-CN"/>
        </w:rPr>
      </w:pPr>
      <w:r>
        <w:rPr>
          <w:rFonts w:hint="eastAsia"/>
          <w:color w:val="auto"/>
          <w:lang w:val="en-US" w:eastAsia="zh-CN"/>
        </w:rPr>
        <w:t>当需对地基、基础的承载力进行鉴定评级，应以岩土工程勘察档案和有关检测资料为依据进行鉴定；</w:t>
      </w:r>
    </w:p>
    <w:p>
      <w:pPr>
        <w:pStyle w:val="36"/>
        <w:bidi w:val="0"/>
        <w:rPr>
          <w:rFonts w:hint="eastAsia"/>
          <w:color w:val="auto"/>
          <w:lang w:val="en-US" w:eastAsia="zh-CN"/>
        </w:rPr>
      </w:pPr>
      <w:r>
        <w:rPr>
          <w:rFonts w:hint="eastAsia"/>
          <w:color w:val="auto"/>
          <w:lang w:val="en-US" w:eastAsia="zh-CN"/>
        </w:rPr>
        <w:t>对建造在斜坡场地上的建筑物，应根据历史资料和实地勘察结果，对边坡场地的稳定性进行评级。</w:t>
      </w:r>
    </w:p>
    <w:p>
      <w:pPr>
        <w:pStyle w:val="5"/>
        <w:bidi w:val="0"/>
        <w:ind w:left="0" w:leftChars="0" w:firstLine="0" w:firstLineChars="0"/>
        <w:rPr>
          <w:rFonts w:hint="eastAsia"/>
          <w:color w:val="auto"/>
          <w:lang w:val="en-US" w:eastAsia="zh-CN"/>
        </w:rPr>
      </w:pPr>
      <w:bookmarkStart w:id="49" w:name="_Ref17090"/>
      <w:r>
        <w:rPr>
          <w:rFonts w:hint="eastAsia"/>
          <w:color w:val="auto"/>
          <w:lang w:val="en-US" w:eastAsia="zh-CN"/>
        </w:rPr>
        <w:t>当地基基础的安全性按地基变形观测资料或其上部结构反应的检查结果评级，应按表</w:t>
      </w:r>
      <w:r>
        <w:rPr>
          <w:rFonts w:hint="eastAsia"/>
          <w:color w:val="auto"/>
          <w:lang w:val="en-US" w:eastAsia="zh-CN"/>
        </w:rPr>
        <w:fldChar w:fldCharType="begin"/>
      </w:r>
      <w:r>
        <w:rPr>
          <w:rFonts w:hint="eastAsia"/>
          <w:color w:val="auto"/>
          <w:lang w:val="en-US" w:eastAsia="zh-CN"/>
        </w:rPr>
        <w:instrText xml:space="preserve"> REF _Ref17090 \n \h </w:instrText>
      </w:r>
      <w:r>
        <w:rPr>
          <w:rFonts w:hint="eastAsia"/>
          <w:color w:val="auto"/>
          <w:lang w:val="en-US" w:eastAsia="zh-CN"/>
        </w:rPr>
        <w:fldChar w:fldCharType="separate"/>
      </w:r>
      <w:r>
        <w:rPr>
          <w:rFonts w:hint="eastAsia"/>
          <w:color w:val="auto"/>
          <w:lang w:val="en-US" w:eastAsia="zh-CN"/>
        </w:rPr>
        <w:t>7.1.3</w:t>
      </w:r>
      <w:r>
        <w:rPr>
          <w:rFonts w:hint="eastAsia"/>
          <w:color w:val="auto"/>
          <w:lang w:val="en-US" w:eastAsia="zh-CN"/>
        </w:rPr>
        <w:fldChar w:fldCharType="end"/>
      </w:r>
      <w:r>
        <w:rPr>
          <w:rFonts w:hint="eastAsia"/>
          <w:color w:val="auto"/>
          <w:lang w:val="en-US" w:eastAsia="zh-CN"/>
        </w:rPr>
        <w:t>规定评级：</w:t>
      </w:r>
      <w:bookmarkEnd w:id="49"/>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_Ref17090 \n \h </w:instrText>
      </w:r>
      <w:r>
        <w:rPr>
          <w:rFonts w:hint="eastAsia"/>
          <w:color w:val="auto"/>
          <w:lang w:val="en-US" w:eastAsia="zh-CN"/>
        </w:rPr>
        <w:fldChar w:fldCharType="separate"/>
      </w:r>
      <w:r>
        <w:rPr>
          <w:rFonts w:hint="eastAsia"/>
          <w:color w:val="auto"/>
          <w:lang w:val="en-US" w:eastAsia="zh-CN"/>
        </w:rPr>
        <w:t>7.1.3</w:t>
      </w:r>
      <w:r>
        <w:rPr>
          <w:rFonts w:hint="eastAsia"/>
          <w:color w:val="auto"/>
          <w:lang w:val="en-US" w:eastAsia="zh-CN"/>
        </w:rPr>
        <w:fldChar w:fldCharType="end"/>
      </w:r>
      <w:r>
        <w:rPr>
          <w:rFonts w:hint="eastAsia"/>
          <w:color w:val="auto"/>
          <w:lang w:val="en-US" w:eastAsia="zh-CN"/>
        </w:rPr>
        <w:t xml:space="preserve"> 地基基础安全性鉴定评级</w:t>
      </w:r>
    </w:p>
    <w:tbl>
      <w:tblPr>
        <w:tblStyle w:val="27"/>
        <w:tblW w:w="501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07"/>
        <w:gridCol w:w="4309"/>
        <w:gridCol w:w="311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44" w:type="pct"/>
            <w:tcBorders>
              <w:left w:val="single" w:color="auto" w:sz="4" w:space="0"/>
            </w:tcBorders>
            <w:vAlign w:val="center"/>
          </w:tcPr>
          <w:p>
            <w:pPr>
              <w:pStyle w:val="24"/>
              <w:bidi w:val="0"/>
              <w:rPr>
                <w:rFonts w:hint="eastAsia"/>
                <w:color w:val="auto"/>
                <w:lang w:val="en-US" w:eastAsia="zh-CN"/>
              </w:rPr>
            </w:pPr>
            <w:r>
              <w:rPr>
                <w:rFonts w:hint="eastAsia"/>
                <w:color w:val="auto"/>
                <w:lang w:val="en-US" w:eastAsia="zh-CN"/>
              </w:rPr>
              <w:t>安全等级</w:t>
            </w:r>
          </w:p>
        </w:tc>
        <w:tc>
          <w:tcPr>
            <w:tcW w:w="2585" w:type="pct"/>
            <w:vAlign w:val="center"/>
          </w:tcPr>
          <w:p>
            <w:pPr>
              <w:pStyle w:val="24"/>
              <w:bidi w:val="0"/>
              <w:rPr>
                <w:rFonts w:hint="default"/>
                <w:color w:val="auto"/>
                <w:lang w:val="en-US"/>
              </w:rPr>
            </w:pPr>
            <w:r>
              <w:rPr>
                <w:rFonts w:hint="eastAsia"/>
                <w:color w:val="auto"/>
                <w:lang w:val="en-US" w:eastAsia="zh-CN"/>
              </w:rPr>
              <w:t>按地基变形观测资料评级</w:t>
            </w:r>
          </w:p>
        </w:tc>
        <w:tc>
          <w:tcPr>
            <w:tcW w:w="1870" w:type="pct"/>
            <w:vAlign w:val="center"/>
          </w:tcPr>
          <w:p>
            <w:pPr>
              <w:pStyle w:val="24"/>
              <w:bidi w:val="0"/>
              <w:rPr>
                <w:rFonts w:hint="default"/>
                <w:color w:val="auto"/>
                <w:lang w:val="en-US"/>
              </w:rPr>
            </w:pPr>
            <w:r>
              <w:rPr>
                <w:rFonts w:hint="eastAsia"/>
                <w:color w:val="auto"/>
                <w:lang w:val="en-US" w:eastAsia="zh-CN"/>
              </w:rPr>
              <w:t>按上部结构反应评级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44" w:type="pct"/>
            <w:tcBorders>
              <w:top w:val="single" w:color="auto" w:sz="4" w:space="0"/>
              <w:left w:val="single" w:color="auto" w:sz="4" w:space="0"/>
              <w:bottom w:val="single" w:color="auto" w:sz="4" w:space="0"/>
            </w:tcBorders>
            <w:vAlign w:val="center"/>
          </w:tcPr>
          <w:p>
            <w:pPr>
              <w:pStyle w:val="24"/>
              <w:bidi w:val="0"/>
              <w:ind w:firstLine="0" w:firstLineChars="0"/>
              <w:jc w:val="center"/>
              <w:rPr>
                <w:rFonts w:hint="eastAsia"/>
                <w:color w:val="auto"/>
                <w:lang w:val="en-US" w:eastAsia="zh-CN"/>
              </w:rPr>
            </w:pPr>
            <w:r>
              <w:rPr>
                <w:rFonts w:hint="eastAsia"/>
                <w:color w:val="auto"/>
                <w:lang w:val="en-US" w:eastAsia="zh-CN"/>
              </w:rPr>
              <w:t>A</w:t>
            </w:r>
            <w:r>
              <w:rPr>
                <w:rFonts w:hint="eastAsia"/>
                <w:color w:val="auto"/>
                <w:vertAlign w:val="subscript"/>
                <w:lang w:val="en-US" w:eastAsia="zh-CN"/>
              </w:rPr>
              <w:t>u</w:t>
            </w:r>
          </w:p>
        </w:tc>
        <w:tc>
          <w:tcPr>
            <w:tcW w:w="2585" w:type="pct"/>
            <w:tcBorders>
              <w:bottom w:val="single" w:color="auto" w:sz="4" w:space="0"/>
            </w:tcBorders>
            <w:shd w:val="clear" w:color="auto" w:fill="auto"/>
            <w:vAlign w:val="center"/>
          </w:tcPr>
          <w:p>
            <w:pPr>
              <w:pStyle w:val="24"/>
              <w:bidi w:val="0"/>
              <w:jc w:val="left"/>
              <w:rPr>
                <w:rFonts w:hint="eastAsia"/>
                <w:color w:val="auto"/>
                <w:lang w:val="en-US" w:eastAsia="en-US"/>
              </w:rPr>
            </w:pPr>
            <w:r>
              <w:rPr>
                <w:rFonts w:hint="eastAsia"/>
                <w:color w:val="auto"/>
                <w:lang w:val="en-US" w:eastAsia="zh-CN"/>
              </w:rPr>
              <w:t>不均匀沉降小于现行国家标准《建筑地基基础设计规范》GB 50007规定的允许沉降差</w:t>
            </w:r>
          </w:p>
        </w:tc>
        <w:tc>
          <w:tcPr>
            <w:tcW w:w="1870" w:type="pct"/>
            <w:shd w:val="clear" w:color="auto" w:fill="auto"/>
            <w:vAlign w:val="center"/>
          </w:tcPr>
          <w:p>
            <w:pPr>
              <w:pStyle w:val="24"/>
              <w:bidi w:val="0"/>
              <w:jc w:val="left"/>
              <w:rPr>
                <w:rFonts w:hint="eastAsia"/>
                <w:color w:val="auto"/>
                <w:lang w:val="en-US" w:eastAsia="en-US"/>
              </w:rPr>
            </w:pPr>
            <w:r>
              <w:rPr>
                <w:rFonts w:hint="eastAsia"/>
                <w:color w:val="auto"/>
                <w:lang w:val="en-US" w:eastAsia="zh-CN"/>
              </w:rPr>
              <w:t>无沉降引起的裂缝、变形或位移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44" w:type="pct"/>
            <w:tcBorders>
              <w:top w:val="single" w:color="auto" w:sz="4" w:space="0"/>
              <w:left w:val="single" w:color="auto" w:sz="4" w:space="0"/>
              <w:bottom w:val="single" w:color="auto" w:sz="4" w:space="0"/>
            </w:tcBorders>
            <w:vAlign w:val="center"/>
          </w:tcPr>
          <w:p>
            <w:pPr>
              <w:pStyle w:val="24"/>
              <w:bidi w:val="0"/>
              <w:ind w:firstLine="0" w:firstLineChars="0"/>
              <w:jc w:val="center"/>
              <w:rPr>
                <w:rFonts w:hint="eastAsia"/>
                <w:color w:val="auto"/>
                <w:lang w:val="en-US" w:eastAsia="zh-CN"/>
              </w:rPr>
            </w:pPr>
            <w:r>
              <w:rPr>
                <w:rFonts w:hint="eastAsia"/>
                <w:color w:val="auto"/>
                <w:lang w:val="en-US" w:eastAsia="zh-CN"/>
              </w:rPr>
              <w:t>B</w:t>
            </w:r>
            <w:r>
              <w:rPr>
                <w:rFonts w:hint="eastAsia"/>
                <w:color w:val="auto"/>
                <w:vertAlign w:val="subscript"/>
                <w:lang w:val="en-US" w:eastAsia="zh-CN"/>
              </w:rPr>
              <w:t>u</w:t>
            </w:r>
          </w:p>
        </w:tc>
        <w:tc>
          <w:tcPr>
            <w:tcW w:w="2585" w:type="pct"/>
            <w:tcBorders>
              <w:top w:val="single" w:color="auto" w:sz="4" w:space="0"/>
              <w:bottom w:val="single" w:color="auto" w:sz="4" w:space="0"/>
            </w:tcBorders>
            <w:shd w:val="clear" w:color="auto" w:fill="auto"/>
            <w:vAlign w:val="center"/>
          </w:tcPr>
          <w:p>
            <w:pPr>
              <w:pStyle w:val="24"/>
              <w:bidi w:val="0"/>
              <w:jc w:val="left"/>
              <w:rPr>
                <w:rFonts w:hint="eastAsia"/>
                <w:color w:val="auto"/>
                <w:lang w:val="en-US" w:eastAsia="en-US"/>
              </w:rPr>
            </w:pPr>
            <w:r>
              <w:rPr>
                <w:rFonts w:hint="eastAsia"/>
                <w:color w:val="auto"/>
                <w:lang w:val="en-US" w:eastAsia="zh-CN"/>
              </w:rPr>
              <w:t>不均匀沉降不大于现行国家标准《建筑地基基础设计规范》GB 50007规定的允许沉降差，且连续两个月地基沉降量小于每月2mm</w:t>
            </w:r>
          </w:p>
        </w:tc>
        <w:tc>
          <w:tcPr>
            <w:tcW w:w="1870" w:type="pct"/>
            <w:shd w:val="clear" w:color="auto" w:fill="auto"/>
            <w:vAlign w:val="center"/>
          </w:tcPr>
          <w:p>
            <w:pPr>
              <w:pStyle w:val="24"/>
              <w:bidi w:val="0"/>
              <w:jc w:val="left"/>
              <w:rPr>
                <w:rFonts w:hint="eastAsia"/>
                <w:color w:val="auto"/>
                <w:lang w:val="en-US" w:eastAsia="en-US"/>
              </w:rPr>
            </w:pPr>
            <w:r>
              <w:rPr>
                <w:rFonts w:hint="eastAsia"/>
                <w:color w:val="auto"/>
                <w:lang w:val="en-US" w:eastAsia="zh-CN"/>
              </w:rPr>
              <w:t>沉降引起轻微裂缝，但无发展迹象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544" w:type="pct"/>
            <w:tcBorders>
              <w:top w:val="single" w:color="auto" w:sz="4" w:space="0"/>
              <w:left w:val="single" w:color="auto" w:sz="4" w:space="0"/>
            </w:tcBorders>
            <w:vAlign w:val="center"/>
          </w:tcPr>
          <w:p>
            <w:pPr>
              <w:pStyle w:val="24"/>
              <w:bidi w:val="0"/>
              <w:ind w:firstLine="0" w:firstLineChars="0"/>
              <w:jc w:val="center"/>
              <w:rPr>
                <w:rFonts w:hint="eastAsia"/>
                <w:color w:val="auto"/>
                <w:lang w:val="en-US" w:eastAsia="zh-CN"/>
              </w:rPr>
            </w:pPr>
            <w:r>
              <w:rPr>
                <w:rFonts w:hint="eastAsia"/>
                <w:color w:val="auto"/>
                <w:lang w:val="en-US" w:eastAsia="zh-CN"/>
              </w:rPr>
              <w:t>C</w:t>
            </w:r>
            <w:r>
              <w:rPr>
                <w:rFonts w:hint="eastAsia"/>
                <w:color w:val="auto"/>
                <w:vertAlign w:val="subscript"/>
                <w:lang w:val="en-US" w:eastAsia="zh-CN"/>
              </w:rPr>
              <w:t>u</w:t>
            </w:r>
          </w:p>
        </w:tc>
        <w:tc>
          <w:tcPr>
            <w:tcW w:w="2585" w:type="pct"/>
            <w:tcBorders>
              <w:top w:val="single" w:color="auto" w:sz="4" w:space="0"/>
            </w:tcBorders>
            <w:shd w:val="clear" w:color="auto" w:fill="auto"/>
            <w:vAlign w:val="center"/>
          </w:tcPr>
          <w:p>
            <w:pPr>
              <w:pStyle w:val="24"/>
              <w:bidi w:val="0"/>
              <w:jc w:val="left"/>
              <w:rPr>
                <w:rFonts w:hint="eastAsia"/>
                <w:color w:val="auto"/>
                <w:lang w:val="en-US" w:eastAsia="en-US"/>
              </w:rPr>
            </w:pPr>
            <w:r>
              <w:rPr>
                <w:rFonts w:hint="eastAsia"/>
                <w:color w:val="auto"/>
                <w:lang w:val="en-US" w:eastAsia="zh-CN"/>
              </w:rPr>
              <w:t>不均匀沉降大于现行国家标准《建筑地基基础设计规范》GB 50007规定的允许沉降差，或连续两个月地基沉降量大于每月2mm</w:t>
            </w:r>
          </w:p>
        </w:tc>
        <w:tc>
          <w:tcPr>
            <w:tcW w:w="1870" w:type="pct"/>
            <w:shd w:val="clear" w:color="auto" w:fill="auto"/>
            <w:vAlign w:val="center"/>
          </w:tcPr>
          <w:p>
            <w:pPr>
              <w:pStyle w:val="24"/>
              <w:bidi w:val="0"/>
              <w:jc w:val="left"/>
              <w:rPr>
                <w:rFonts w:hint="eastAsia"/>
                <w:color w:val="auto"/>
                <w:lang w:val="en-US" w:eastAsia="zh-CN"/>
              </w:rPr>
            </w:pPr>
            <w:r>
              <w:rPr>
                <w:rFonts w:hint="eastAsia"/>
                <w:color w:val="auto"/>
                <w:lang w:val="en-US" w:eastAsia="zh-CN"/>
              </w:rPr>
              <w:t>上部结构存在明显的沉降裂缝或变形，或有发展迹象</w:t>
            </w:r>
          </w:p>
        </w:tc>
      </w:tr>
    </w:tbl>
    <w:p>
      <w:pPr>
        <w:pStyle w:val="26"/>
        <w:bidi w:val="0"/>
        <w:rPr>
          <w:rFonts w:hint="eastAsia"/>
          <w:color w:val="auto"/>
          <w:lang w:val="en-US" w:eastAsia="zh-CN"/>
        </w:rPr>
      </w:pPr>
      <w:r>
        <w:rPr>
          <w:rFonts w:hint="eastAsia"/>
          <w:color w:val="auto"/>
          <w:lang w:val="en-US" w:eastAsia="zh-CN"/>
        </w:rPr>
        <w:t>【条文说明】按上部结构反应评级的规定适用于已投入使用两年以上、且建于一般地基土上的建筑。“明显的沉降裂缝”为砌体出现宽度大于5mm的沉降裂缝，预制构件连接部位出现宽度大于1mm的沉降裂缝，现浇结构相应部分出现沉降裂缝。</w:t>
      </w:r>
    </w:p>
    <w:p>
      <w:pPr>
        <w:pStyle w:val="5"/>
        <w:bidi w:val="0"/>
        <w:ind w:left="0" w:leftChars="0" w:firstLine="0" w:firstLineChars="0"/>
        <w:rPr>
          <w:rFonts w:hint="eastAsia"/>
          <w:color w:val="auto"/>
          <w:lang w:val="en-US" w:eastAsia="zh-CN"/>
        </w:rPr>
      </w:pPr>
      <w:r>
        <w:rPr>
          <w:rFonts w:hint="eastAsia"/>
          <w:color w:val="auto"/>
          <w:lang w:val="en-US" w:eastAsia="zh-CN"/>
        </w:rPr>
        <w:t>当地基基础的安全性按其承载力评级，可根据检测和验算分析结果结合上部结构反应按下列规定综合评级：</w:t>
      </w:r>
    </w:p>
    <w:p>
      <w:pPr>
        <w:pStyle w:val="36"/>
        <w:bidi w:val="0"/>
        <w:rPr>
          <w:rFonts w:hint="eastAsia"/>
          <w:color w:val="auto"/>
          <w:lang w:val="en-US" w:eastAsia="zh-CN"/>
        </w:rPr>
      </w:pPr>
      <w:r>
        <w:rPr>
          <w:rFonts w:hint="eastAsia"/>
          <w:color w:val="auto"/>
          <w:lang w:val="en-US" w:eastAsia="zh-CN"/>
        </w:rPr>
        <w:t>当地基基础承载力符合现行国家标准《建筑地基基础设计规范》GB 50007的规定时，可根据建筑物的完好程度评为A</w:t>
      </w:r>
      <w:r>
        <w:rPr>
          <w:rFonts w:hint="eastAsia"/>
          <w:color w:val="auto"/>
          <w:vertAlign w:val="subscript"/>
          <w:lang w:val="en-US" w:eastAsia="zh-CN"/>
        </w:rPr>
        <w:t>u</w:t>
      </w:r>
      <w:r>
        <w:rPr>
          <w:rFonts w:hint="eastAsia"/>
          <w:color w:val="auto"/>
          <w:lang w:val="en-US" w:eastAsia="zh-CN"/>
        </w:rPr>
        <w:t>级或B</w:t>
      </w:r>
      <w:r>
        <w:rPr>
          <w:rFonts w:hint="eastAsia"/>
          <w:color w:val="auto"/>
          <w:vertAlign w:val="subscript"/>
          <w:lang w:val="en-US" w:eastAsia="zh-CN"/>
        </w:rPr>
        <w:t>u</w:t>
      </w:r>
      <w:r>
        <w:rPr>
          <w:rFonts w:hint="eastAsia"/>
          <w:color w:val="auto"/>
          <w:lang w:val="en-US" w:eastAsia="zh-CN"/>
        </w:rPr>
        <w:t>级；</w:t>
      </w:r>
    </w:p>
    <w:p>
      <w:pPr>
        <w:pStyle w:val="36"/>
        <w:bidi w:val="0"/>
        <w:rPr>
          <w:rFonts w:hint="eastAsia"/>
          <w:color w:val="auto"/>
          <w:lang w:val="en-US" w:eastAsia="zh-CN"/>
        </w:rPr>
      </w:pPr>
      <w:r>
        <w:rPr>
          <w:rFonts w:hint="eastAsia"/>
          <w:color w:val="auto"/>
          <w:lang w:val="en-US" w:eastAsia="zh-CN"/>
        </w:rPr>
        <w:t>当地基基础承载力不符合现行国家标准《建筑地基基础设计规范》GB 50007的规定时，但按照7.1.3条规定评为A</w:t>
      </w:r>
      <w:r>
        <w:rPr>
          <w:rFonts w:hint="eastAsia"/>
          <w:color w:val="auto"/>
          <w:vertAlign w:val="subscript"/>
          <w:lang w:val="en-US" w:eastAsia="zh-CN"/>
        </w:rPr>
        <w:t>u</w:t>
      </w:r>
      <w:r>
        <w:rPr>
          <w:rFonts w:hint="eastAsia"/>
          <w:color w:val="auto"/>
          <w:lang w:val="en-US" w:eastAsia="zh-CN"/>
        </w:rPr>
        <w:t>级时，可评为B</w:t>
      </w:r>
      <w:r>
        <w:rPr>
          <w:rFonts w:hint="eastAsia"/>
          <w:color w:val="auto"/>
          <w:vertAlign w:val="subscript"/>
          <w:lang w:val="en-US" w:eastAsia="zh-CN"/>
        </w:rPr>
        <w:t>u</w:t>
      </w:r>
      <w:r>
        <w:rPr>
          <w:rFonts w:hint="eastAsia"/>
          <w:color w:val="auto"/>
          <w:lang w:val="en-US" w:eastAsia="zh-CN"/>
        </w:rPr>
        <w:t>级，否则应评为C</w:t>
      </w:r>
      <w:r>
        <w:rPr>
          <w:rFonts w:hint="eastAsia"/>
          <w:color w:val="auto"/>
          <w:vertAlign w:val="subscript"/>
          <w:lang w:val="en-US" w:eastAsia="zh-CN"/>
        </w:rPr>
        <w:t>u</w:t>
      </w:r>
      <w:r>
        <w:rPr>
          <w:rFonts w:hint="eastAsia"/>
          <w:color w:val="auto"/>
          <w:lang w:val="en-US" w:eastAsia="zh-CN"/>
        </w:rPr>
        <w:t>级。</w:t>
      </w:r>
    </w:p>
    <w:p>
      <w:pPr>
        <w:pStyle w:val="5"/>
        <w:bidi w:val="0"/>
        <w:ind w:left="0" w:leftChars="0" w:firstLine="0" w:firstLineChars="0"/>
        <w:rPr>
          <w:rFonts w:hint="eastAsia"/>
          <w:color w:val="auto"/>
          <w:lang w:val="en-US" w:eastAsia="zh-CN"/>
        </w:rPr>
      </w:pPr>
      <w:r>
        <w:rPr>
          <w:rFonts w:hint="eastAsia"/>
          <w:color w:val="auto"/>
          <w:lang w:val="en-US" w:eastAsia="zh-CN"/>
        </w:rPr>
        <w:t>当地基基础的安全性按边坡场地稳定性项目评级，应按下列规定评级：</w:t>
      </w:r>
    </w:p>
    <w:p>
      <w:pPr>
        <w:pStyle w:val="36"/>
        <w:bidi w:val="0"/>
        <w:rPr>
          <w:rFonts w:hint="eastAsia"/>
          <w:color w:val="auto"/>
          <w:lang w:val="en-US" w:eastAsia="zh-CN"/>
        </w:rPr>
      </w:pPr>
      <w:r>
        <w:rPr>
          <w:rFonts w:hint="eastAsia"/>
          <w:color w:val="auto"/>
          <w:lang w:val="en-US" w:eastAsia="zh-CN"/>
        </w:rPr>
        <w:t>A</w:t>
      </w:r>
      <w:r>
        <w:rPr>
          <w:rFonts w:hint="eastAsia"/>
          <w:color w:val="auto"/>
          <w:vertAlign w:val="subscript"/>
          <w:lang w:val="en-US" w:eastAsia="zh-CN"/>
        </w:rPr>
        <w:t>u</w:t>
      </w:r>
      <w:r>
        <w:rPr>
          <w:rFonts w:hint="eastAsia"/>
          <w:color w:val="auto"/>
          <w:lang w:val="en-US" w:eastAsia="zh-CN"/>
        </w:rPr>
        <w:t>级，建筑场地地基稳定，无滑动迹象及滑动史；</w:t>
      </w:r>
    </w:p>
    <w:p>
      <w:pPr>
        <w:pStyle w:val="36"/>
        <w:bidi w:val="0"/>
        <w:rPr>
          <w:rFonts w:hint="eastAsia"/>
          <w:color w:val="auto"/>
          <w:lang w:val="en-US" w:eastAsia="zh-CN"/>
        </w:rPr>
      </w:pPr>
      <w:r>
        <w:rPr>
          <w:rFonts w:hint="eastAsia"/>
          <w:color w:val="auto"/>
          <w:lang w:val="en-US" w:eastAsia="zh-CN"/>
        </w:rPr>
        <w:t>B</w:t>
      </w:r>
      <w:r>
        <w:rPr>
          <w:rFonts w:hint="eastAsia"/>
          <w:color w:val="auto"/>
          <w:vertAlign w:val="subscript"/>
          <w:lang w:val="en-US" w:eastAsia="zh-CN"/>
        </w:rPr>
        <w:t>u</w:t>
      </w:r>
      <w:r>
        <w:rPr>
          <w:rFonts w:hint="eastAsia"/>
          <w:color w:val="auto"/>
          <w:lang w:val="en-US" w:eastAsia="zh-CN"/>
        </w:rPr>
        <w:t>级，建筑场地地基在历史上曾有过局部滑动，经治理后已停止滑动，且近期评估表明，在一般情况下不会再滑动；</w:t>
      </w:r>
    </w:p>
    <w:p>
      <w:pPr>
        <w:pStyle w:val="36"/>
        <w:bidi w:val="0"/>
        <w:rPr>
          <w:rFonts w:hint="eastAsia"/>
          <w:color w:val="auto"/>
          <w:lang w:val="en-US" w:eastAsia="zh-CN"/>
        </w:rPr>
      </w:pPr>
      <w:r>
        <w:rPr>
          <w:rFonts w:hint="eastAsia"/>
          <w:color w:val="auto"/>
          <w:lang w:val="en-US" w:eastAsia="zh-CN"/>
        </w:rPr>
        <w:t>C</w:t>
      </w:r>
      <w:r>
        <w:rPr>
          <w:rFonts w:hint="eastAsia"/>
          <w:color w:val="auto"/>
          <w:vertAlign w:val="subscript"/>
          <w:lang w:val="en-US" w:eastAsia="zh-CN"/>
        </w:rPr>
        <w:t>u</w:t>
      </w:r>
      <w:r>
        <w:rPr>
          <w:rFonts w:hint="eastAsia"/>
          <w:color w:val="auto"/>
          <w:lang w:val="en-US" w:eastAsia="zh-CN"/>
        </w:rPr>
        <w:t>级，建筑场地地基在历史上发生过滑动，目前虽已停止滑动，但当触动诱发因素时，今后仍有可能再滑动或又有滑动迹象。</w:t>
      </w:r>
    </w:p>
    <w:p>
      <w:pPr>
        <w:pStyle w:val="5"/>
        <w:bidi w:val="0"/>
        <w:ind w:left="0" w:leftChars="0" w:firstLine="0" w:firstLineChars="0"/>
        <w:rPr>
          <w:rFonts w:hint="eastAsia"/>
          <w:color w:val="auto"/>
          <w:lang w:val="en-US" w:eastAsia="zh-CN"/>
        </w:rPr>
      </w:pPr>
      <w:r>
        <w:rPr>
          <w:rFonts w:hint="eastAsia"/>
          <w:color w:val="auto"/>
          <w:lang w:val="en-US" w:eastAsia="zh-CN"/>
        </w:rPr>
        <w:t>当发现地下水位或水质有较大变化，或土压力、水压力有显著改变，且可能对建筑物产生不利影响时，鉴定中应考虑此类因素并应提出处理的建议。</w:t>
      </w:r>
    </w:p>
    <w:p>
      <w:pPr>
        <w:pStyle w:val="5"/>
        <w:bidi w:val="0"/>
        <w:ind w:left="0" w:leftChars="0" w:firstLine="0" w:firstLineChars="0"/>
        <w:rPr>
          <w:rFonts w:hint="eastAsia"/>
          <w:color w:val="auto"/>
          <w:lang w:val="en-US" w:eastAsia="zh-CN"/>
        </w:rPr>
      </w:pPr>
      <w:r>
        <w:rPr>
          <w:rFonts w:hint="eastAsia"/>
          <w:color w:val="auto"/>
          <w:lang w:val="en-US" w:eastAsia="zh-CN"/>
        </w:rPr>
        <w:t>地基基础的安全性等级，应根据本节地基基础和场地的评定结果按其中最低一级确定。</w:t>
      </w:r>
    </w:p>
    <w:p>
      <w:pPr>
        <w:pStyle w:val="26"/>
        <w:bidi w:val="0"/>
        <w:rPr>
          <w:rFonts w:hint="eastAsia"/>
          <w:color w:val="auto"/>
          <w:lang w:val="en-US" w:eastAsia="zh-CN"/>
        </w:rPr>
      </w:pPr>
      <w:r>
        <w:rPr>
          <w:rFonts w:hint="eastAsia"/>
          <w:color w:val="auto"/>
          <w:lang w:val="en-US" w:eastAsia="zh-CN"/>
        </w:rPr>
        <w:t>【条文说明】参考《民用建筑可靠性鉴定标准》GB 50292-2015，地基基础的安全性等级一般可取地基变形或地基承载力评定等级，对建在斜坡场地的建筑物，还应结合边坡场地项目评级结果，取最低一级。</w:t>
      </w:r>
    </w:p>
    <w:p>
      <w:pPr>
        <w:pStyle w:val="3"/>
        <w:bidi w:val="0"/>
        <w:ind w:left="0" w:leftChars="0" w:firstLine="0" w:firstLineChars="0"/>
        <w:rPr>
          <w:rFonts w:hint="default"/>
          <w:color w:val="auto"/>
          <w:lang w:val="en-US" w:eastAsia="zh-CN"/>
        </w:rPr>
      </w:pPr>
      <w:bookmarkStart w:id="50" w:name="_Toc6961"/>
      <w:bookmarkStart w:id="51" w:name="_Toc31230"/>
      <w:r>
        <w:rPr>
          <w:rFonts w:hint="eastAsia"/>
          <w:color w:val="auto"/>
          <w:lang w:val="en-US" w:eastAsia="zh-CN"/>
        </w:rPr>
        <w:t>砌体结构</w:t>
      </w:r>
      <w:bookmarkEnd w:id="50"/>
      <w:bookmarkEnd w:id="51"/>
    </w:p>
    <w:p>
      <w:pPr>
        <w:pStyle w:val="29"/>
        <w:bidi w:val="0"/>
        <w:rPr>
          <w:rFonts w:hint="eastAsia"/>
          <w:color w:val="auto"/>
          <w:lang w:val="en-US" w:eastAsia="zh-CN"/>
        </w:rPr>
      </w:pPr>
      <w:r>
        <w:rPr>
          <w:rFonts w:hint="eastAsia"/>
          <w:color w:val="auto"/>
          <w:lang w:val="en-US" w:eastAsia="zh-CN"/>
        </w:rPr>
        <w:t>结构体系鉴定</w:t>
      </w:r>
    </w:p>
    <w:p>
      <w:pPr>
        <w:pStyle w:val="5"/>
        <w:bidi w:val="0"/>
        <w:ind w:left="0" w:leftChars="0" w:firstLine="0" w:firstLineChars="0"/>
        <w:rPr>
          <w:rFonts w:hint="eastAsia"/>
          <w:color w:val="auto"/>
          <w:lang w:val="en-US" w:eastAsia="zh-CN"/>
        </w:rPr>
      </w:pPr>
      <w:r>
        <w:rPr>
          <w:rFonts w:hint="eastAsia"/>
          <w:color w:val="auto"/>
          <w:lang w:val="en-US" w:eastAsia="zh-CN"/>
        </w:rPr>
        <w:t>砌体结构的结构体系鉴定，应对建筑的总高度和层数、结构布置、构造柱、圈梁、砌体构件的高厚比、易发生局部倒塌的构部件及其连接、顶点位移等检查项目进行检查。</w:t>
      </w:r>
    </w:p>
    <w:p>
      <w:pPr>
        <w:pStyle w:val="5"/>
        <w:bidi w:val="0"/>
        <w:ind w:left="0" w:leftChars="0" w:firstLine="0" w:firstLineChars="0"/>
        <w:rPr>
          <w:rFonts w:hint="eastAsia"/>
          <w:color w:val="auto"/>
          <w:lang w:val="en-US" w:eastAsia="zh-CN"/>
        </w:rPr>
      </w:pPr>
      <w:bookmarkStart w:id="52" w:name="_Ref21724"/>
      <w:r>
        <w:rPr>
          <w:rFonts w:hint="eastAsia"/>
          <w:color w:val="auto"/>
          <w:lang w:val="en-US" w:eastAsia="zh-CN"/>
        </w:rPr>
        <w:t>砌体结构的总高度和层数应符合下列要求：</w:t>
      </w:r>
      <w:bookmarkEnd w:id="52"/>
    </w:p>
    <w:p>
      <w:pPr>
        <w:pStyle w:val="36"/>
        <w:bidi w:val="0"/>
        <w:rPr>
          <w:rFonts w:hint="eastAsia"/>
          <w:b/>
          <w:bCs/>
          <w:color w:val="auto"/>
          <w:lang w:val="en-US" w:eastAsia="zh-CN"/>
        </w:rPr>
      </w:pPr>
      <w:r>
        <w:rPr>
          <w:rFonts w:hint="eastAsia"/>
          <w:color w:val="auto"/>
          <w:lang w:val="en-US" w:eastAsia="zh-CN"/>
        </w:rPr>
        <w:t>砌体结构的总高度和层数应符合设计要求，且不应超过表</w:t>
      </w:r>
      <w:r>
        <w:rPr>
          <w:rFonts w:hint="eastAsia"/>
          <w:color w:val="auto"/>
          <w:lang w:val="en-US" w:eastAsia="zh-CN"/>
        </w:rPr>
        <w:fldChar w:fldCharType="begin"/>
      </w:r>
      <w:r>
        <w:rPr>
          <w:rFonts w:hint="eastAsia"/>
          <w:color w:val="auto"/>
          <w:lang w:val="en-US" w:eastAsia="zh-CN"/>
        </w:rPr>
        <w:instrText xml:space="preserve"> REF _Ref21724 \n \h </w:instrText>
      </w:r>
      <w:r>
        <w:rPr>
          <w:rFonts w:hint="eastAsia"/>
          <w:color w:val="auto"/>
          <w:lang w:val="en-US" w:eastAsia="zh-CN"/>
        </w:rPr>
        <w:fldChar w:fldCharType="separate"/>
      </w:r>
      <w:r>
        <w:rPr>
          <w:rFonts w:hint="eastAsia"/>
          <w:color w:val="auto"/>
          <w:lang w:val="en-US" w:eastAsia="zh-CN"/>
        </w:rPr>
        <w:t>7.2.2</w:t>
      </w:r>
      <w:r>
        <w:rPr>
          <w:rFonts w:hint="eastAsia"/>
          <w:color w:val="auto"/>
          <w:lang w:val="en-US" w:eastAsia="zh-CN"/>
        </w:rPr>
        <w:fldChar w:fldCharType="end"/>
      </w:r>
      <w:r>
        <w:rPr>
          <w:rFonts w:hint="eastAsia"/>
          <w:color w:val="auto"/>
          <w:lang w:val="en-US" w:eastAsia="zh-CN"/>
        </w:rPr>
        <w:t>的规定。</w:t>
      </w:r>
    </w:p>
    <w:p>
      <w:pPr>
        <w:pStyle w:val="25"/>
        <w:bidi w:val="0"/>
        <w:rPr>
          <w:rFonts w:hint="default"/>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_Ref21724 \n \h </w:instrText>
      </w:r>
      <w:r>
        <w:rPr>
          <w:rFonts w:hint="eastAsia"/>
          <w:color w:val="auto"/>
          <w:lang w:val="en-US" w:eastAsia="zh-CN"/>
        </w:rPr>
        <w:fldChar w:fldCharType="separate"/>
      </w:r>
      <w:r>
        <w:rPr>
          <w:rFonts w:hint="eastAsia"/>
          <w:color w:val="auto"/>
          <w:lang w:val="en-US" w:eastAsia="zh-CN"/>
        </w:rPr>
        <w:t>7.2.2</w:t>
      </w:r>
      <w:r>
        <w:rPr>
          <w:rFonts w:hint="eastAsia"/>
          <w:color w:val="auto"/>
          <w:lang w:val="en-US" w:eastAsia="zh-CN"/>
        </w:rPr>
        <w:fldChar w:fldCharType="end"/>
      </w:r>
      <w:r>
        <w:rPr>
          <w:rFonts w:hint="eastAsia"/>
          <w:color w:val="auto"/>
          <w:lang w:val="en-US" w:eastAsia="zh-CN"/>
        </w:rPr>
        <w:t xml:space="preserve"> 多层砌体民用建筑的总高度和层数的限值（m）</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1873"/>
        <w:gridCol w:w="2061"/>
        <w:gridCol w:w="1648"/>
        <w:gridCol w:w="152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930" w:type="pct"/>
            <w:gridSpan w:val="2"/>
            <w:tcBorders>
              <w:tl2br w:val="nil"/>
              <w:tr2bl w:val="nil"/>
            </w:tcBorders>
            <w:vAlign w:val="center"/>
          </w:tcPr>
          <w:p>
            <w:pPr>
              <w:pStyle w:val="24"/>
              <w:bidi w:val="0"/>
              <w:rPr>
                <w:rFonts w:hint="eastAsia"/>
                <w:color w:val="auto"/>
                <w:lang w:val="en-US" w:eastAsia="zh-CN"/>
              </w:rPr>
            </w:pPr>
            <w:r>
              <w:rPr>
                <w:rFonts w:hint="eastAsia"/>
                <w:color w:val="auto"/>
                <w:lang w:val="en-US" w:eastAsia="zh-CN"/>
              </w:rPr>
              <w:t>建筑类别</w:t>
            </w:r>
          </w:p>
        </w:tc>
        <w:tc>
          <w:tcPr>
            <w:tcW w:w="120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最小墙厚度</w:t>
            </w:r>
            <w:r>
              <w:rPr>
                <w:rFonts w:hint="default"/>
                <w:color w:val="auto"/>
                <w:lang w:val="en-US" w:eastAsia="zh-CN"/>
              </w:rPr>
              <w:t>（mm）</w:t>
            </w:r>
          </w:p>
        </w:tc>
        <w:tc>
          <w:tcPr>
            <w:tcW w:w="967"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高度</w:t>
            </w:r>
            <w:r>
              <w:rPr>
                <w:rFonts w:hint="default"/>
                <w:color w:val="auto"/>
                <w:lang w:val="en-US" w:eastAsia="zh-CN"/>
              </w:rPr>
              <w:t>（m）</w:t>
            </w:r>
          </w:p>
        </w:tc>
        <w:tc>
          <w:tcPr>
            <w:tcW w:w="892"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层数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1" w:type="pct"/>
            <w:vMerge w:val="restart"/>
            <w:tcBorders>
              <w:tl2br w:val="nil"/>
              <w:tr2bl w:val="nil"/>
            </w:tcBorders>
            <w:vAlign w:val="center"/>
          </w:tcPr>
          <w:p>
            <w:pPr>
              <w:pStyle w:val="24"/>
              <w:bidi w:val="0"/>
              <w:rPr>
                <w:rFonts w:hint="eastAsia"/>
                <w:color w:val="auto"/>
                <w:lang w:val="en-US" w:eastAsia="zh-CN"/>
              </w:rPr>
            </w:pPr>
            <w:r>
              <w:rPr>
                <w:rFonts w:hint="eastAsia"/>
                <w:color w:val="auto"/>
                <w:lang w:val="en-US" w:eastAsia="zh-CN"/>
              </w:rPr>
              <w:t>多层砌体</w:t>
            </w:r>
          </w:p>
          <w:p>
            <w:pPr>
              <w:pStyle w:val="24"/>
              <w:bidi w:val="0"/>
              <w:rPr>
                <w:rFonts w:hint="default"/>
                <w:color w:val="auto"/>
                <w:lang w:val="en-US" w:eastAsia="zh-CN"/>
              </w:rPr>
            </w:pPr>
            <w:r>
              <w:rPr>
                <w:rFonts w:hint="eastAsia"/>
                <w:color w:val="auto"/>
                <w:lang w:val="en-US" w:eastAsia="zh-CN"/>
              </w:rPr>
              <w:t>结构</w:t>
            </w:r>
          </w:p>
        </w:tc>
        <w:tc>
          <w:tcPr>
            <w:tcW w:w="109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普通砖</w:t>
            </w:r>
          </w:p>
        </w:tc>
        <w:tc>
          <w:tcPr>
            <w:tcW w:w="120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240</w:t>
            </w:r>
          </w:p>
        </w:tc>
        <w:tc>
          <w:tcPr>
            <w:tcW w:w="967"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21</w:t>
            </w:r>
          </w:p>
        </w:tc>
        <w:tc>
          <w:tcPr>
            <w:tcW w:w="892"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1" w:type="pct"/>
            <w:vMerge w:val="continue"/>
            <w:tcBorders>
              <w:tl2br w:val="nil"/>
              <w:tr2bl w:val="nil"/>
            </w:tcBorders>
            <w:vAlign w:val="center"/>
          </w:tcPr>
          <w:p>
            <w:pPr>
              <w:pStyle w:val="24"/>
              <w:bidi w:val="0"/>
              <w:rPr>
                <w:rFonts w:hint="eastAsia"/>
                <w:color w:val="auto"/>
                <w:lang w:val="en-US" w:eastAsia="zh-CN"/>
              </w:rPr>
            </w:pPr>
          </w:p>
        </w:tc>
        <w:tc>
          <w:tcPr>
            <w:tcW w:w="109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多孔砖</w:t>
            </w:r>
          </w:p>
        </w:tc>
        <w:tc>
          <w:tcPr>
            <w:tcW w:w="120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240</w:t>
            </w:r>
          </w:p>
        </w:tc>
        <w:tc>
          <w:tcPr>
            <w:tcW w:w="967"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21</w:t>
            </w:r>
          </w:p>
        </w:tc>
        <w:tc>
          <w:tcPr>
            <w:tcW w:w="892"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1" w:type="pct"/>
            <w:vMerge w:val="continue"/>
            <w:tcBorders>
              <w:tl2br w:val="nil"/>
              <w:tr2bl w:val="nil"/>
            </w:tcBorders>
            <w:vAlign w:val="center"/>
          </w:tcPr>
          <w:p>
            <w:pPr>
              <w:pStyle w:val="24"/>
              <w:bidi w:val="0"/>
              <w:rPr>
                <w:rFonts w:hint="eastAsia"/>
                <w:color w:val="auto"/>
                <w:lang w:val="en-US" w:eastAsia="zh-CN"/>
              </w:rPr>
            </w:pPr>
          </w:p>
        </w:tc>
        <w:tc>
          <w:tcPr>
            <w:tcW w:w="109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多孔砖</w:t>
            </w:r>
          </w:p>
        </w:tc>
        <w:tc>
          <w:tcPr>
            <w:tcW w:w="120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190</w:t>
            </w:r>
          </w:p>
        </w:tc>
        <w:tc>
          <w:tcPr>
            <w:tcW w:w="967"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21</w:t>
            </w:r>
          </w:p>
        </w:tc>
        <w:tc>
          <w:tcPr>
            <w:tcW w:w="892"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1" w:type="pct"/>
            <w:vMerge w:val="continue"/>
            <w:tcBorders>
              <w:tl2br w:val="nil"/>
              <w:tr2bl w:val="nil"/>
            </w:tcBorders>
            <w:vAlign w:val="center"/>
          </w:tcPr>
          <w:p>
            <w:pPr>
              <w:pStyle w:val="24"/>
              <w:bidi w:val="0"/>
              <w:rPr>
                <w:rFonts w:hint="eastAsia"/>
                <w:color w:val="auto"/>
                <w:lang w:val="en-US" w:eastAsia="zh-CN"/>
              </w:rPr>
            </w:pPr>
          </w:p>
        </w:tc>
        <w:tc>
          <w:tcPr>
            <w:tcW w:w="109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混凝土砌块</w:t>
            </w:r>
          </w:p>
        </w:tc>
        <w:tc>
          <w:tcPr>
            <w:tcW w:w="1209"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190</w:t>
            </w:r>
          </w:p>
        </w:tc>
        <w:tc>
          <w:tcPr>
            <w:tcW w:w="967"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21</w:t>
            </w:r>
          </w:p>
        </w:tc>
        <w:tc>
          <w:tcPr>
            <w:tcW w:w="892"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1" w:type="pct"/>
            <w:vMerge w:val="restart"/>
            <w:tcBorders>
              <w:tl2br w:val="nil"/>
              <w:tr2bl w:val="nil"/>
            </w:tcBorders>
            <w:vAlign w:val="center"/>
          </w:tcPr>
          <w:p>
            <w:pPr>
              <w:pStyle w:val="24"/>
              <w:bidi w:val="0"/>
              <w:rPr>
                <w:rFonts w:hint="default"/>
                <w:color w:val="auto"/>
                <w:lang w:val="en-US" w:eastAsia="zh-CN"/>
              </w:rPr>
            </w:pPr>
            <w:r>
              <w:rPr>
                <w:rFonts w:hint="eastAsia"/>
                <w:color w:val="auto"/>
                <w:lang w:val="en-US" w:eastAsia="zh-CN"/>
              </w:rPr>
              <w:t>底部框架-抗震墙砌体结构</w:t>
            </w:r>
          </w:p>
        </w:tc>
        <w:tc>
          <w:tcPr>
            <w:tcW w:w="1099"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普通砖</w:t>
            </w:r>
          </w:p>
        </w:tc>
        <w:tc>
          <w:tcPr>
            <w:tcW w:w="1209"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240</w:t>
            </w:r>
          </w:p>
        </w:tc>
        <w:tc>
          <w:tcPr>
            <w:tcW w:w="967" w:type="pct"/>
            <w:tcBorders>
              <w:tl2br w:val="nil"/>
              <w:tr2bl w:val="nil"/>
            </w:tcBorders>
            <w:shd w:val="clear" w:color="auto" w:fill="auto"/>
            <w:vAlign w:val="center"/>
          </w:tcPr>
          <w:p>
            <w:pPr>
              <w:pStyle w:val="24"/>
              <w:bidi w:val="0"/>
              <w:rPr>
                <w:rFonts w:hint="default"/>
                <w:color w:val="auto"/>
                <w:lang w:val="en-US" w:eastAsia="zh-CN"/>
              </w:rPr>
            </w:pPr>
            <w:r>
              <w:rPr>
                <w:rFonts w:hint="eastAsia"/>
                <w:color w:val="auto"/>
                <w:lang w:val="en-US" w:eastAsia="zh-CN"/>
              </w:rPr>
              <w:t>22</w:t>
            </w:r>
          </w:p>
        </w:tc>
        <w:tc>
          <w:tcPr>
            <w:tcW w:w="892" w:type="pct"/>
            <w:tcBorders>
              <w:tl2br w:val="nil"/>
              <w:tr2bl w:val="nil"/>
            </w:tcBorders>
            <w:shd w:val="clear" w:color="auto" w:fill="auto"/>
            <w:vAlign w:val="center"/>
          </w:tcPr>
          <w:p>
            <w:pPr>
              <w:pStyle w:val="24"/>
              <w:bidi w:val="0"/>
              <w:rPr>
                <w:rFonts w:hint="default"/>
                <w:color w:val="auto"/>
                <w:lang w:val="en-US" w:eastAsia="zh-CN"/>
              </w:rPr>
            </w:pPr>
            <w:r>
              <w:rPr>
                <w:rFonts w:hint="eastAsia"/>
                <w:color w:val="auto"/>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1" w:type="pct"/>
            <w:vMerge w:val="continue"/>
            <w:tcBorders>
              <w:tl2br w:val="nil"/>
              <w:tr2bl w:val="nil"/>
            </w:tcBorders>
            <w:vAlign w:val="center"/>
          </w:tcPr>
          <w:p>
            <w:pPr>
              <w:pStyle w:val="24"/>
              <w:bidi w:val="0"/>
              <w:rPr>
                <w:rFonts w:hint="eastAsia"/>
                <w:color w:val="auto"/>
                <w:lang w:val="en-US" w:eastAsia="zh-CN"/>
              </w:rPr>
            </w:pPr>
          </w:p>
        </w:tc>
        <w:tc>
          <w:tcPr>
            <w:tcW w:w="1099"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多孔砖</w:t>
            </w:r>
          </w:p>
        </w:tc>
        <w:tc>
          <w:tcPr>
            <w:tcW w:w="1209"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240</w:t>
            </w:r>
          </w:p>
        </w:tc>
        <w:tc>
          <w:tcPr>
            <w:tcW w:w="967"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22</w:t>
            </w:r>
          </w:p>
        </w:tc>
        <w:tc>
          <w:tcPr>
            <w:tcW w:w="892"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1" w:type="pct"/>
            <w:vMerge w:val="continue"/>
            <w:tcBorders>
              <w:tl2br w:val="nil"/>
              <w:tr2bl w:val="nil"/>
            </w:tcBorders>
            <w:vAlign w:val="center"/>
          </w:tcPr>
          <w:p>
            <w:pPr>
              <w:pStyle w:val="24"/>
              <w:bidi w:val="0"/>
              <w:rPr>
                <w:rFonts w:hint="eastAsia"/>
                <w:color w:val="auto"/>
                <w:lang w:val="en-US" w:eastAsia="zh-CN"/>
              </w:rPr>
            </w:pPr>
          </w:p>
        </w:tc>
        <w:tc>
          <w:tcPr>
            <w:tcW w:w="1099"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多孔砖</w:t>
            </w:r>
          </w:p>
        </w:tc>
        <w:tc>
          <w:tcPr>
            <w:tcW w:w="1209"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190</w:t>
            </w:r>
          </w:p>
        </w:tc>
        <w:tc>
          <w:tcPr>
            <w:tcW w:w="967"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22</w:t>
            </w:r>
          </w:p>
        </w:tc>
        <w:tc>
          <w:tcPr>
            <w:tcW w:w="892"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31" w:type="pct"/>
            <w:vMerge w:val="continue"/>
            <w:tcBorders>
              <w:tl2br w:val="nil"/>
              <w:tr2bl w:val="nil"/>
            </w:tcBorders>
            <w:vAlign w:val="center"/>
          </w:tcPr>
          <w:p>
            <w:pPr>
              <w:pStyle w:val="24"/>
              <w:bidi w:val="0"/>
              <w:rPr>
                <w:rFonts w:hint="eastAsia"/>
                <w:color w:val="auto"/>
                <w:lang w:val="en-US" w:eastAsia="zh-CN"/>
              </w:rPr>
            </w:pPr>
          </w:p>
        </w:tc>
        <w:tc>
          <w:tcPr>
            <w:tcW w:w="1099"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混凝土砌块</w:t>
            </w:r>
          </w:p>
        </w:tc>
        <w:tc>
          <w:tcPr>
            <w:tcW w:w="1209"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190</w:t>
            </w:r>
          </w:p>
        </w:tc>
        <w:tc>
          <w:tcPr>
            <w:tcW w:w="967"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22</w:t>
            </w:r>
          </w:p>
        </w:tc>
        <w:tc>
          <w:tcPr>
            <w:tcW w:w="892" w:type="pct"/>
            <w:tcBorders>
              <w:tl2br w:val="nil"/>
              <w:tr2bl w:val="nil"/>
            </w:tcBorders>
            <w:shd w:val="clear" w:color="auto" w:fill="auto"/>
            <w:vAlign w:val="center"/>
          </w:tcPr>
          <w:p>
            <w:pPr>
              <w:pStyle w:val="24"/>
              <w:bidi w:val="0"/>
              <w:rPr>
                <w:rFonts w:hint="eastAsia"/>
                <w:color w:val="auto"/>
                <w:lang w:val="en-US" w:eastAsia="zh-CN"/>
              </w:rPr>
            </w:pPr>
            <w:r>
              <w:rPr>
                <w:rFonts w:hint="eastAsia"/>
                <w:color w:val="auto"/>
                <w:lang w:val="en-US" w:eastAsia="zh-CN"/>
              </w:rPr>
              <w:t>7</w:t>
            </w:r>
          </w:p>
        </w:tc>
      </w:tr>
    </w:tbl>
    <w:p>
      <w:pPr>
        <w:pStyle w:val="39"/>
        <w:bidi w:val="0"/>
        <w:rPr>
          <w:rFonts w:hint="eastAsia"/>
          <w:color w:val="auto"/>
          <w:lang w:val="en-US" w:eastAsia="zh-CN"/>
        </w:rPr>
      </w:pPr>
      <w:r>
        <w:rPr>
          <w:rFonts w:hint="eastAsia"/>
          <w:color w:val="auto"/>
          <w:lang w:val="en-US" w:eastAsia="zh-CN"/>
        </w:rPr>
        <w:t>注：1 建筑的总高度指室外地面到主要屋面板板顶或檐口的高度，半地下室从地下室室内地面算起，全地下室和嵌固条件好的半地下室应允许从室外地面算起；对带阁楼的坡屋面应算到山尖墙的 1/2高度处；</w:t>
      </w:r>
    </w:p>
    <w:p>
      <w:pPr>
        <w:pStyle w:val="38"/>
        <w:bidi w:val="0"/>
        <w:rPr>
          <w:rFonts w:hint="eastAsia"/>
          <w:color w:val="auto"/>
          <w:lang w:val="en-US" w:eastAsia="zh-CN"/>
        </w:rPr>
      </w:pPr>
      <w:r>
        <w:rPr>
          <w:rFonts w:hint="eastAsia"/>
          <w:color w:val="auto"/>
          <w:lang w:val="en-US" w:eastAsia="zh-CN"/>
        </w:rPr>
        <w:t>2 室内外高差大于0.6m时，建筑总高度应允许比表中的数据适当增加，但增加量应少于1.0m。</w:t>
      </w:r>
    </w:p>
    <w:p>
      <w:pPr>
        <w:pStyle w:val="36"/>
        <w:bidi w:val="0"/>
        <w:rPr>
          <w:rFonts w:hint="default"/>
          <w:color w:val="auto"/>
          <w:lang w:val="en-US" w:eastAsia="zh-CN"/>
        </w:rPr>
      </w:pPr>
      <w:r>
        <w:rPr>
          <w:rFonts w:hint="default"/>
          <w:color w:val="auto"/>
          <w:lang w:val="en-US" w:eastAsia="zh-CN"/>
        </w:rPr>
        <w:t>各层横墙较少的多层砌体</w:t>
      </w:r>
      <w:r>
        <w:rPr>
          <w:rFonts w:hint="eastAsia"/>
          <w:color w:val="auto"/>
          <w:lang w:val="en-US" w:eastAsia="zh-CN"/>
        </w:rPr>
        <w:t>结构</w:t>
      </w:r>
      <w:r>
        <w:rPr>
          <w:rFonts w:hint="default"/>
          <w:color w:val="auto"/>
          <w:lang w:val="en-US" w:eastAsia="zh-CN"/>
        </w:rPr>
        <w:t>，总高度应比表</w:t>
      </w:r>
      <w:r>
        <w:rPr>
          <w:rFonts w:hint="eastAsia"/>
          <w:color w:val="auto"/>
          <w:lang w:val="en-US" w:eastAsia="zh-CN"/>
        </w:rPr>
        <w:fldChar w:fldCharType="begin"/>
      </w:r>
      <w:r>
        <w:rPr>
          <w:rFonts w:hint="eastAsia"/>
          <w:color w:val="auto"/>
          <w:lang w:val="en-US" w:eastAsia="zh-CN"/>
        </w:rPr>
        <w:instrText xml:space="preserve"> REF _Ref21724 \n \h </w:instrText>
      </w:r>
      <w:r>
        <w:rPr>
          <w:rFonts w:hint="eastAsia"/>
          <w:color w:val="auto"/>
          <w:lang w:val="en-US" w:eastAsia="zh-CN"/>
        </w:rPr>
        <w:fldChar w:fldCharType="separate"/>
      </w:r>
      <w:r>
        <w:rPr>
          <w:rFonts w:hint="eastAsia"/>
          <w:color w:val="auto"/>
          <w:lang w:val="en-US" w:eastAsia="zh-CN"/>
        </w:rPr>
        <w:t>7.2.2</w:t>
      </w:r>
      <w:r>
        <w:rPr>
          <w:rFonts w:hint="eastAsia"/>
          <w:color w:val="auto"/>
          <w:lang w:val="en-US" w:eastAsia="zh-CN"/>
        </w:rPr>
        <w:fldChar w:fldCharType="end"/>
      </w:r>
      <w:r>
        <w:rPr>
          <w:rFonts w:hint="default"/>
          <w:color w:val="auto"/>
          <w:lang w:val="en-US" w:eastAsia="zh-CN"/>
        </w:rPr>
        <w:t>中的规定降低3m，层数相应减少</w:t>
      </w:r>
      <w:r>
        <w:rPr>
          <w:rFonts w:hint="eastAsia"/>
          <w:color w:val="auto"/>
          <w:lang w:val="en-US" w:eastAsia="zh-CN"/>
        </w:rPr>
        <w:t>1</w:t>
      </w:r>
      <w:r>
        <w:rPr>
          <w:rFonts w:hint="default"/>
          <w:color w:val="auto"/>
          <w:lang w:val="en-US" w:eastAsia="zh-CN"/>
        </w:rPr>
        <w:t>层</w:t>
      </w:r>
      <w:r>
        <w:rPr>
          <w:rFonts w:hint="eastAsia"/>
          <w:color w:val="auto"/>
          <w:lang w:val="en-US" w:eastAsia="zh-CN"/>
        </w:rPr>
        <w:t>；</w:t>
      </w:r>
      <w:r>
        <w:rPr>
          <w:rFonts w:hint="default"/>
          <w:color w:val="auto"/>
          <w:lang w:val="en-US" w:eastAsia="zh-CN"/>
        </w:rPr>
        <w:t>各层横墙很少的多层砌体</w:t>
      </w:r>
      <w:r>
        <w:rPr>
          <w:rFonts w:hint="eastAsia"/>
          <w:color w:val="auto"/>
          <w:lang w:val="en-US" w:eastAsia="zh-CN"/>
        </w:rPr>
        <w:t>建筑</w:t>
      </w:r>
      <w:r>
        <w:rPr>
          <w:rFonts w:hint="default"/>
          <w:color w:val="auto"/>
          <w:lang w:val="en-US" w:eastAsia="zh-CN"/>
        </w:rPr>
        <w:t>，还应再减少</w:t>
      </w:r>
      <w:r>
        <w:rPr>
          <w:rFonts w:hint="eastAsia"/>
          <w:color w:val="auto"/>
          <w:lang w:val="en-US" w:eastAsia="zh-CN"/>
        </w:rPr>
        <w:t>1</w:t>
      </w:r>
      <w:r>
        <w:rPr>
          <w:rFonts w:hint="default"/>
          <w:color w:val="auto"/>
          <w:lang w:val="en-US" w:eastAsia="zh-CN"/>
        </w:rPr>
        <w:t>层</w:t>
      </w:r>
      <w:r>
        <w:rPr>
          <w:rFonts w:hint="eastAsia"/>
          <w:color w:val="auto"/>
          <w:lang w:val="en-US" w:eastAsia="zh-CN"/>
        </w:rPr>
        <w:t>。</w:t>
      </w:r>
    </w:p>
    <w:p>
      <w:pPr>
        <w:pStyle w:val="26"/>
        <w:bidi w:val="0"/>
        <w:rPr>
          <w:rFonts w:hint="default"/>
          <w:color w:val="auto"/>
          <w:lang w:val="en-US" w:eastAsia="zh-CN"/>
        </w:rPr>
      </w:pPr>
      <w:r>
        <w:rPr>
          <w:rFonts w:hint="eastAsia"/>
          <w:color w:val="auto"/>
          <w:lang w:val="en-US" w:eastAsia="zh-CN"/>
        </w:rPr>
        <w:t>【条文说明】</w:t>
      </w:r>
      <w:r>
        <w:rPr>
          <w:rFonts w:hint="default"/>
          <w:color w:val="auto"/>
          <w:lang w:val="en-US" w:eastAsia="zh-CN"/>
        </w:rPr>
        <w:t>横墙较少是指同一楼层内开间大于4.2m的房间占该层总面积的40%以上</w:t>
      </w:r>
      <w:r>
        <w:rPr>
          <w:rFonts w:hint="eastAsia"/>
          <w:color w:val="auto"/>
          <w:lang w:val="en-US" w:eastAsia="zh-CN"/>
        </w:rPr>
        <w:t>；</w:t>
      </w:r>
      <w:r>
        <w:rPr>
          <w:rFonts w:hint="default"/>
          <w:color w:val="auto"/>
          <w:lang w:val="en-US" w:eastAsia="zh-CN"/>
        </w:rPr>
        <w:t>其中，开间不大于4.2m的房间占该层总面积不到20%且开间大于4.8m 的房间占该层总面积的50%以上为横墙很少。</w:t>
      </w:r>
    </w:p>
    <w:p>
      <w:pPr>
        <w:pStyle w:val="5"/>
        <w:bidi w:val="0"/>
        <w:ind w:left="0" w:leftChars="0" w:firstLine="0" w:firstLineChars="0"/>
        <w:rPr>
          <w:rFonts w:hint="default"/>
          <w:color w:val="auto"/>
          <w:lang w:val="en-US" w:eastAsia="zh-CN"/>
        </w:rPr>
      </w:pPr>
      <w:r>
        <w:rPr>
          <w:rFonts w:hint="eastAsia"/>
          <w:color w:val="auto"/>
          <w:lang w:val="en-US" w:eastAsia="zh-CN"/>
        </w:rPr>
        <w:t>砌体结构的结构布置，应符合下列要求：</w:t>
      </w:r>
    </w:p>
    <w:p>
      <w:pPr>
        <w:pStyle w:val="36"/>
        <w:bidi w:val="0"/>
        <w:rPr>
          <w:rFonts w:hint="eastAsia"/>
          <w:color w:val="auto"/>
          <w:lang w:val="en-US" w:eastAsia="zh-CN"/>
        </w:rPr>
      </w:pPr>
      <w:r>
        <w:rPr>
          <w:rFonts w:hint="eastAsia"/>
          <w:color w:val="auto"/>
          <w:lang w:val="en-US" w:eastAsia="zh-CN"/>
        </w:rPr>
        <w:t>建筑</w:t>
      </w:r>
      <w:r>
        <w:rPr>
          <w:rFonts w:hint="default"/>
          <w:color w:val="auto"/>
          <w:lang w:val="en-US" w:eastAsia="zh-CN"/>
        </w:rPr>
        <w:t>的竖向体型宜规则、均匀</w:t>
      </w:r>
      <w:r>
        <w:rPr>
          <w:rFonts w:hint="eastAsia"/>
          <w:color w:val="auto"/>
          <w:lang w:val="en-US" w:eastAsia="zh-CN"/>
        </w:rPr>
        <w:t>，如变化，应下大上小</w:t>
      </w:r>
      <w:r>
        <w:rPr>
          <w:rFonts w:hint="default"/>
          <w:color w:val="auto"/>
          <w:lang w:val="en-US" w:eastAsia="zh-CN"/>
        </w:rPr>
        <w:t>逐渐均匀变化</w:t>
      </w:r>
      <w:r>
        <w:rPr>
          <w:rFonts w:hint="eastAsia"/>
          <w:color w:val="auto"/>
          <w:lang w:val="en-US" w:eastAsia="zh-CN"/>
        </w:rPr>
        <w:t>；立面高度变化不超过一层，除</w:t>
      </w:r>
      <w:r>
        <w:rPr>
          <w:color w:val="auto"/>
        </w:rPr>
        <w:t>顶层或出屋面小建筑外，局部收进的水平向尺寸</w:t>
      </w:r>
      <w:r>
        <w:rPr>
          <w:rFonts w:hint="eastAsia"/>
          <w:color w:val="auto"/>
          <w:lang w:val="en-US" w:eastAsia="zh-CN"/>
        </w:rPr>
        <w:t>不</w:t>
      </w:r>
      <w:r>
        <w:rPr>
          <w:color w:val="auto"/>
        </w:rPr>
        <w:t>大于相邻下一层的25%</w:t>
      </w:r>
      <w:r>
        <w:rPr>
          <w:rFonts w:hint="eastAsia"/>
          <w:color w:val="auto"/>
          <w:lang w:eastAsia="zh-CN"/>
        </w:rPr>
        <w:t>。</w:t>
      </w:r>
      <w:r>
        <w:rPr>
          <w:rFonts w:hint="eastAsia"/>
          <w:color w:val="auto"/>
          <w:lang w:val="en-US" w:eastAsia="zh-CN"/>
        </w:rPr>
        <w:t xml:space="preserve"> </w:t>
      </w:r>
    </w:p>
    <w:p>
      <w:pPr>
        <w:pStyle w:val="36"/>
        <w:bidi w:val="0"/>
        <w:rPr>
          <w:rFonts w:hint="eastAsia"/>
          <w:color w:val="auto"/>
          <w:lang w:val="en-US" w:eastAsia="zh-CN"/>
        </w:rPr>
      </w:pPr>
      <w:r>
        <w:rPr>
          <w:rFonts w:hint="eastAsia"/>
          <w:color w:val="auto"/>
          <w:lang w:val="en-US" w:eastAsia="zh-CN"/>
        </w:rPr>
        <w:t>纵横墙的布置宜均匀对称，沿竖向应上下连续。</w:t>
      </w:r>
    </w:p>
    <w:p>
      <w:pPr>
        <w:pStyle w:val="5"/>
        <w:bidi w:val="0"/>
        <w:ind w:left="0" w:leftChars="0" w:firstLine="0" w:firstLineChars="0"/>
        <w:rPr>
          <w:rFonts w:hint="eastAsia"/>
          <w:color w:val="auto"/>
          <w:lang w:val="en-US" w:eastAsia="zh-CN"/>
        </w:rPr>
      </w:pPr>
      <w:bookmarkStart w:id="53" w:name="_Ref22247"/>
      <w:r>
        <w:rPr>
          <w:rFonts w:hint="eastAsia"/>
          <w:color w:val="auto"/>
          <w:lang w:val="en-US" w:eastAsia="zh-CN"/>
        </w:rPr>
        <w:t>砌体结构构造柱（芯柱）的布置</w:t>
      </w:r>
      <w:bookmarkEnd w:id="53"/>
      <w:r>
        <w:rPr>
          <w:rFonts w:hint="eastAsia"/>
          <w:color w:val="auto"/>
          <w:lang w:val="en-US" w:eastAsia="zh-CN"/>
        </w:rPr>
        <w:t>应满足下列基本要求：</w:t>
      </w:r>
    </w:p>
    <w:p>
      <w:pPr>
        <w:pStyle w:val="36"/>
        <w:bidi w:val="0"/>
        <w:rPr>
          <w:rFonts w:hint="eastAsia"/>
          <w:color w:val="auto"/>
          <w:lang w:val="en-US" w:eastAsia="zh-CN"/>
        </w:rPr>
      </w:pPr>
      <w:r>
        <w:rPr>
          <w:rFonts w:hint="eastAsia"/>
          <w:color w:val="auto"/>
          <w:lang w:val="en-US" w:eastAsia="zh-CN"/>
        </w:rPr>
        <w:t>砖砌体中钢筋混凝土构造柱应按表</w:t>
      </w:r>
      <w:r>
        <w:rPr>
          <w:rFonts w:hint="eastAsia"/>
          <w:color w:val="auto"/>
          <w:lang w:val="en-US" w:eastAsia="zh-CN"/>
        </w:rPr>
        <w:fldChar w:fldCharType="begin"/>
      </w:r>
      <w:r>
        <w:rPr>
          <w:rFonts w:hint="eastAsia"/>
          <w:color w:val="auto"/>
          <w:lang w:val="en-US" w:eastAsia="zh-CN"/>
        </w:rPr>
        <w:instrText xml:space="preserve"> REF _Ref22247 \n \h </w:instrText>
      </w:r>
      <w:r>
        <w:rPr>
          <w:rFonts w:hint="eastAsia"/>
          <w:color w:val="auto"/>
          <w:lang w:val="en-US" w:eastAsia="zh-CN"/>
        </w:rPr>
        <w:fldChar w:fldCharType="separate"/>
      </w:r>
      <w:r>
        <w:rPr>
          <w:rFonts w:hint="eastAsia"/>
          <w:color w:val="auto"/>
          <w:lang w:val="en-US" w:eastAsia="zh-CN"/>
        </w:rPr>
        <w:t>7.2.4</w:t>
      </w:r>
      <w:r>
        <w:rPr>
          <w:rFonts w:hint="eastAsia"/>
          <w:color w:val="auto"/>
          <w:lang w:val="en-US" w:eastAsia="zh-CN"/>
        </w:rPr>
        <w:fldChar w:fldCharType="end"/>
      </w:r>
      <w:r>
        <w:rPr>
          <w:rFonts w:hint="eastAsia"/>
          <w:color w:val="auto"/>
          <w:lang w:val="en-US" w:eastAsia="zh-CN"/>
        </w:rPr>
        <w:t>-1的要求检查，小砌块砌体中芯柱应按表</w:t>
      </w:r>
      <w:r>
        <w:rPr>
          <w:rFonts w:hint="eastAsia"/>
          <w:color w:val="auto"/>
          <w:lang w:val="en-US" w:eastAsia="zh-CN"/>
        </w:rPr>
        <w:fldChar w:fldCharType="begin"/>
      </w:r>
      <w:r>
        <w:rPr>
          <w:rFonts w:hint="eastAsia"/>
          <w:color w:val="auto"/>
          <w:lang w:val="en-US" w:eastAsia="zh-CN"/>
        </w:rPr>
        <w:instrText xml:space="preserve"> REF _Ref22247 \n \h </w:instrText>
      </w:r>
      <w:r>
        <w:rPr>
          <w:rFonts w:hint="eastAsia"/>
          <w:color w:val="auto"/>
          <w:lang w:val="en-US" w:eastAsia="zh-CN"/>
        </w:rPr>
        <w:fldChar w:fldCharType="separate"/>
      </w:r>
      <w:r>
        <w:rPr>
          <w:rFonts w:hint="eastAsia"/>
          <w:color w:val="auto"/>
          <w:lang w:val="en-US" w:eastAsia="zh-CN"/>
        </w:rPr>
        <w:t>7.2.4</w:t>
      </w:r>
      <w:r>
        <w:rPr>
          <w:rFonts w:hint="eastAsia"/>
          <w:color w:val="auto"/>
          <w:lang w:val="en-US" w:eastAsia="zh-CN"/>
        </w:rPr>
        <w:fldChar w:fldCharType="end"/>
      </w:r>
      <w:r>
        <w:rPr>
          <w:rFonts w:hint="eastAsia"/>
          <w:color w:val="auto"/>
          <w:lang w:val="en-US" w:eastAsia="zh-CN"/>
        </w:rPr>
        <w:t>-2的要求检查。</w:t>
      </w:r>
    </w:p>
    <w:p>
      <w:pPr>
        <w:pStyle w:val="36"/>
        <w:bidi w:val="0"/>
        <w:rPr>
          <w:rFonts w:hint="default"/>
          <w:color w:val="auto"/>
          <w:lang w:val="en-US" w:eastAsia="zh-CN"/>
        </w:rPr>
      </w:pPr>
      <w:r>
        <w:rPr>
          <w:rFonts w:hint="default"/>
          <w:color w:val="auto"/>
          <w:lang w:val="en-US" w:eastAsia="zh-CN"/>
        </w:rPr>
        <w:t>外廊式和单面走廊式的多层</w:t>
      </w:r>
      <w:r>
        <w:rPr>
          <w:rFonts w:hint="eastAsia"/>
          <w:color w:val="auto"/>
          <w:lang w:val="en-US" w:eastAsia="zh-CN"/>
        </w:rPr>
        <w:t>砌体结构</w:t>
      </w:r>
      <w:r>
        <w:rPr>
          <w:rFonts w:hint="default"/>
          <w:color w:val="auto"/>
          <w:lang w:val="en-US" w:eastAsia="zh-CN"/>
        </w:rPr>
        <w:t>，应根据</w:t>
      </w:r>
      <w:r>
        <w:rPr>
          <w:rFonts w:hint="eastAsia"/>
          <w:color w:val="auto"/>
          <w:lang w:val="en-US" w:eastAsia="zh-CN"/>
        </w:rPr>
        <w:t>层数</w:t>
      </w:r>
      <w:r>
        <w:rPr>
          <w:rFonts w:hint="default"/>
          <w:color w:val="auto"/>
          <w:lang w:val="en-US" w:eastAsia="zh-CN"/>
        </w:rPr>
        <w:t>增加</w:t>
      </w:r>
      <w:r>
        <w:rPr>
          <w:rFonts w:hint="eastAsia"/>
          <w:color w:val="auto"/>
          <w:lang w:val="en-US" w:eastAsia="zh-CN"/>
        </w:rPr>
        <w:t>1</w:t>
      </w:r>
      <w:r>
        <w:rPr>
          <w:rFonts w:hint="default"/>
          <w:color w:val="auto"/>
          <w:lang w:val="en-US" w:eastAsia="zh-CN"/>
        </w:rPr>
        <w:t>层</w:t>
      </w:r>
      <w:r>
        <w:rPr>
          <w:rFonts w:hint="eastAsia"/>
          <w:color w:val="auto"/>
          <w:lang w:val="en-US" w:eastAsia="zh-CN"/>
        </w:rPr>
        <w:t>后</w:t>
      </w:r>
      <w:r>
        <w:rPr>
          <w:rFonts w:hint="default"/>
          <w:color w:val="auto"/>
          <w:lang w:val="en-US" w:eastAsia="zh-CN"/>
        </w:rPr>
        <w:t>的要求设置构造柱</w:t>
      </w:r>
      <w:r>
        <w:rPr>
          <w:rFonts w:hint="eastAsia"/>
          <w:color w:val="auto"/>
          <w:lang w:val="en-US" w:eastAsia="zh-CN"/>
        </w:rPr>
        <w:t>（芯柱）</w:t>
      </w:r>
      <w:r>
        <w:rPr>
          <w:rFonts w:hint="default"/>
          <w:color w:val="auto"/>
          <w:lang w:val="en-US" w:eastAsia="zh-CN"/>
        </w:rPr>
        <w:t>，且单面走廊两侧的纵墙均应按外墙处理。</w:t>
      </w:r>
    </w:p>
    <w:p>
      <w:pPr>
        <w:pStyle w:val="36"/>
        <w:bidi w:val="0"/>
        <w:rPr>
          <w:rFonts w:hint="default"/>
          <w:color w:val="auto"/>
          <w:lang w:val="en-US" w:eastAsia="zh-CN"/>
        </w:rPr>
      </w:pPr>
      <w:r>
        <w:rPr>
          <w:rFonts w:hint="default"/>
          <w:color w:val="auto"/>
          <w:lang w:val="en-US" w:eastAsia="zh-CN"/>
        </w:rPr>
        <w:t>横墙较少的</w:t>
      </w:r>
      <w:r>
        <w:rPr>
          <w:rFonts w:hint="eastAsia"/>
          <w:color w:val="auto"/>
          <w:lang w:val="en-US" w:eastAsia="zh-CN"/>
        </w:rPr>
        <w:t>砌体结构</w:t>
      </w:r>
      <w:r>
        <w:rPr>
          <w:rFonts w:hint="default"/>
          <w:color w:val="auto"/>
          <w:lang w:val="en-US" w:eastAsia="zh-CN"/>
        </w:rPr>
        <w:t>，应根据</w:t>
      </w:r>
      <w:r>
        <w:rPr>
          <w:rFonts w:hint="eastAsia"/>
          <w:color w:val="auto"/>
          <w:lang w:val="en-US" w:eastAsia="zh-CN"/>
        </w:rPr>
        <w:t>层数</w:t>
      </w:r>
      <w:r>
        <w:rPr>
          <w:rFonts w:hint="default"/>
          <w:color w:val="auto"/>
          <w:lang w:val="en-US" w:eastAsia="zh-CN"/>
        </w:rPr>
        <w:t>增加</w:t>
      </w:r>
      <w:r>
        <w:rPr>
          <w:rFonts w:hint="eastAsia"/>
          <w:color w:val="auto"/>
          <w:lang w:val="en-US" w:eastAsia="zh-CN"/>
        </w:rPr>
        <w:t>1</w:t>
      </w:r>
      <w:r>
        <w:rPr>
          <w:rFonts w:hint="default"/>
          <w:color w:val="auto"/>
          <w:lang w:val="en-US" w:eastAsia="zh-CN"/>
        </w:rPr>
        <w:t>层</w:t>
      </w:r>
      <w:r>
        <w:rPr>
          <w:rFonts w:hint="eastAsia"/>
          <w:color w:val="auto"/>
          <w:lang w:val="en-US" w:eastAsia="zh-CN"/>
        </w:rPr>
        <w:t>后</w:t>
      </w:r>
      <w:r>
        <w:rPr>
          <w:rFonts w:hint="default"/>
          <w:color w:val="auto"/>
          <w:lang w:val="en-US" w:eastAsia="zh-CN"/>
        </w:rPr>
        <w:t>的要求设置构造柱</w:t>
      </w:r>
      <w:r>
        <w:rPr>
          <w:rFonts w:hint="eastAsia"/>
          <w:color w:val="auto"/>
          <w:lang w:val="en-US" w:eastAsia="zh-CN"/>
        </w:rPr>
        <w:t>（芯柱）</w:t>
      </w:r>
      <w:r>
        <w:rPr>
          <w:rFonts w:hint="default"/>
          <w:color w:val="auto"/>
          <w:lang w:val="en-US" w:eastAsia="zh-CN"/>
        </w:rPr>
        <w:t>。当横墙较少的</w:t>
      </w:r>
      <w:r>
        <w:rPr>
          <w:rFonts w:hint="eastAsia"/>
          <w:color w:val="auto"/>
          <w:lang w:val="en-US" w:eastAsia="zh-CN"/>
        </w:rPr>
        <w:t>砌体结构</w:t>
      </w:r>
      <w:r>
        <w:rPr>
          <w:rFonts w:hint="default"/>
          <w:color w:val="auto"/>
          <w:lang w:val="en-US" w:eastAsia="zh-CN"/>
        </w:rPr>
        <w:t>为外廊式或单面走廊式时，应按本条</w:t>
      </w:r>
      <w:r>
        <w:rPr>
          <w:rFonts w:hint="eastAsia"/>
          <w:color w:val="auto"/>
          <w:lang w:val="en-US" w:eastAsia="zh-CN"/>
        </w:rPr>
        <w:t>第</w:t>
      </w:r>
      <w:r>
        <w:rPr>
          <w:rFonts w:hint="default"/>
          <w:color w:val="auto"/>
          <w:lang w:val="en-US" w:eastAsia="zh-CN"/>
        </w:rPr>
        <w:t>1~2款要求设置构造柱</w:t>
      </w:r>
      <w:r>
        <w:rPr>
          <w:rFonts w:hint="eastAsia"/>
          <w:color w:val="auto"/>
          <w:lang w:val="en-US" w:eastAsia="zh-CN"/>
        </w:rPr>
        <w:t>（芯柱）；</w:t>
      </w:r>
      <w:r>
        <w:rPr>
          <w:rFonts w:hint="default"/>
          <w:color w:val="auto"/>
          <w:lang w:val="en-US" w:eastAsia="zh-CN"/>
        </w:rPr>
        <w:t>但6</w:t>
      </w:r>
      <w:r>
        <w:rPr>
          <w:rFonts w:hint="eastAsia"/>
          <w:color w:val="auto"/>
          <w:lang w:val="en-US" w:eastAsia="zh-CN"/>
        </w:rPr>
        <w:t>度不超过4层、</w:t>
      </w:r>
      <w:r>
        <w:rPr>
          <w:rFonts w:hint="default"/>
          <w:color w:val="auto"/>
          <w:lang w:val="en-US" w:eastAsia="zh-CN"/>
        </w:rPr>
        <w:t>7</w:t>
      </w:r>
      <w:r>
        <w:rPr>
          <w:rFonts w:hint="eastAsia"/>
          <w:color w:val="auto"/>
          <w:lang w:val="en-US" w:eastAsia="zh-CN"/>
        </w:rPr>
        <w:t>度不超过3层和</w:t>
      </w:r>
      <w:r>
        <w:rPr>
          <w:rFonts w:hint="default"/>
          <w:color w:val="auto"/>
          <w:lang w:val="en-US" w:eastAsia="zh-CN"/>
        </w:rPr>
        <w:t>8</w:t>
      </w:r>
      <w:r>
        <w:rPr>
          <w:rFonts w:hint="eastAsia"/>
          <w:color w:val="auto"/>
          <w:lang w:val="en-US" w:eastAsia="zh-CN"/>
        </w:rPr>
        <w:t>度不超过2层时应按增加2层的层数对待。</w:t>
      </w:r>
    </w:p>
    <w:p>
      <w:pPr>
        <w:pStyle w:val="36"/>
        <w:bidi w:val="0"/>
        <w:rPr>
          <w:rFonts w:hint="eastAsia"/>
          <w:color w:val="auto"/>
          <w:lang w:val="en-US" w:eastAsia="zh-CN"/>
        </w:rPr>
      </w:pPr>
      <w:r>
        <w:rPr>
          <w:rFonts w:hint="default"/>
          <w:color w:val="auto"/>
          <w:lang w:val="en-US" w:eastAsia="zh-CN"/>
        </w:rPr>
        <w:t>各层横墙很少的</w:t>
      </w:r>
      <w:r>
        <w:rPr>
          <w:rFonts w:hint="eastAsia"/>
          <w:color w:val="auto"/>
          <w:lang w:val="en-US" w:eastAsia="zh-CN"/>
        </w:rPr>
        <w:t>砌体结构</w:t>
      </w:r>
      <w:r>
        <w:rPr>
          <w:rFonts w:hint="default"/>
          <w:color w:val="auto"/>
          <w:lang w:val="en-US" w:eastAsia="zh-CN"/>
        </w:rPr>
        <w:t>，应按</w:t>
      </w:r>
      <w:r>
        <w:rPr>
          <w:rFonts w:hint="eastAsia"/>
          <w:color w:val="auto"/>
          <w:lang w:val="en-US" w:eastAsia="zh-CN"/>
        </w:rPr>
        <w:t>层数</w:t>
      </w:r>
      <w:r>
        <w:rPr>
          <w:rFonts w:hint="default"/>
          <w:color w:val="auto"/>
          <w:lang w:val="en-US" w:eastAsia="zh-CN"/>
        </w:rPr>
        <w:t>增加</w:t>
      </w:r>
      <w:r>
        <w:rPr>
          <w:rFonts w:hint="eastAsia"/>
          <w:color w:val="auto"/>
          <w:lang w:val="en-US" w:eastAsia="zh-CN"/>
        </w:rPr>
        <w:t>2</w:t>
      </w:r>
      <w:r>
        <w:rPr>
          <w:rFonts w:hint="default"/>
          <w:color w:val="auto"/>
          <w:lang w:val="en-US" w:eastAsia="zh-CN"/>
        </w:rPr>
        <w:t>层</w:t>
      </w:r>
      <w:r>
        <w:rPr>
          <w:rFonts w:hint="eastAsia"/>
          <w:color w:val="auto"/>
          <w:lang w:val="en-US" w:eastAsia="zh-CN"/>
        </w:rPr>
        <w:t>后</w:t>
      </w:r>
      <w:r>
        <w:rPr>
          <w:rFonts w:hint="default"/>
          <w:color w:val="auto"/>
          <w:lang w:val="en-US" w:eastAsia="zh-CN"/>
        </w:rPr>
        <w:t>的要求设置构造柱</w:t>
      </w:r>
      <w:r>
        <w:rPr>
          <w:rFonts w:hint="eastAsia"/>
          <w:color w:val="auto"/>
          <w:lang w:val="en-US" w:eastAsia="zh-CN"/>
        </w:rPr>
        <w:t>（芯柱）</w:t>
      </w:r>
      <w:r>
        <w:rPr>
          <w:rFonts w:hint="default"/>
          <w:color w:val="auto"/>
          <w:lang w:val="en-US" w:eastAsia="zh-CN"/>
        </w:rPr>
        <w:t>。</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_Ref22247 \n \h </w:instrText>
      </w:r>
      <w:r>
        <w:rPr>
          <w:rFonts w:hint="eastAsia"/>
          <w:color w:val="auto"/>
          <w:lang w:val="en-US" w:eastAsia="zh-CN"/>
        </w:rPr>
        <w:fldChar w:fldCharType="separate"/>
      </w:r>
      <w:r>
        <w:rPr>
          <w:rFonts w:hint="eastAsia"/>
          <w:color w:val="auto"/>
          <w:lang w:val="en-US" w:eastAsia="zh-CN"/>
        </w:rPr>
        <w:t>7.2.4</w:t>
      </w:r>
      <w:r>
        <w:rPr>
          <w:rFonts w:hint="eastAsia"/>
          <w:color w:val="auto"/>
          <w:lang w:val="en-US" w:eastAsia="zh-CN"/>
        </w:rPr>
        <w:fldChar w:fldCharType="end"/>
      </w:r>
      <w:r>
        <w:rPr>
          <w:rFonts w:hint="eastAsia"/>
          <w:color w:val="auto"/>
          <w:lang w:val="en-US" w:eastAsia="zh-CN"/>
        </w:rPr>
        <w:t>-1 多层砖砌体中构造柱设置要求</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213"/>
        <w:gridCol w:w="2805"/>
        <w:gridCol w:w="450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2"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建筑层数</w:t>
            </w:r>
          </w:p>
        </w:tc>
        <w:tc>
          <w:tcPr>
            <w:tcW w:w="4287" w:type="pct"/>
            <w:gridSpan w:val="2"/>
            <w:tcBorders>
              <w:tl2br w:val="nil"/>
              <w:tr2bl w:val="nil"/>
            </w:tcBorders>
            <w:vAlign w:val="center"/>
          </w:tcPr>
          <w:p>
            <w:pPr>
              <w:pStyle w:val="24"/>
              <w:bidi w:val="0"/>
              <w:rPr>
                <w:rFonts w:hint="default"/>
                <w:color w:val="auto"/>
                <w:lang w:val="en-US" w:eastAsia="zh-CN"/>
              </w:rPr>
            </w:pPr>
            <w:r>
              <w:rPr>
                <w:rFonts w:hint="eastAsia"/>
                <w:color w:val="auto"/>
                <w:lang w:val="en-US" w:eastAsia="zh-CN"/>
              </w:rPr>
              <w:t>设置部位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2" w:type="pct"/>
            <w:tcBorders>
              <w:tl2br w:val="nil"/>
              <w:tr2bl w:val="nil"/>
            </w:tcBorders>
            <w:vAlign w:val="center"/>
          </w:tcPr>
          <w:p>
            <w:pPr>
              <w:pStyle w:val="24"/>
              <w:bidi w:val="0"/>
              <w:jc w:val="center"/>
              <w:rPr>
                <w:rFonts w:hint="default"/>
                <w:color w:val="auto"/>
                <w:lang w:val="en-US" w:eastAsia="zh-CN"/>
              </w:rPr>
            </w:pPr>
            <w:r>
              <w:rPr>
                <w:rFonts w:hint="eastAsia"/>
                <w:color w:val="auto"/>
                <w:lang w:val="en-US" w:eastAsia="zh-CN"/>
              </w:rPr>
              <w:t>4、5</w:t>
            </w:r>
          </w:p>
        </w:tc>
        <w:tc>
          <w:tcPr>
            <w:tcW w:w="1646" w:type="pct"/>
            <w:vMerge w:val="restart"/>
            <w:tcBorders>
              <w:tl2br w:val="nil"/>
              <w:tr2bl w:val="nil"/>
            </w:tcBorders>
            <w:vAlign w:val="center"/>
          </w:tcPr>
          <w:p>
            <w:pPr>
              <w:pStyle w:val="24"/>
              <w:bidi w:val="0"/>
              <w:jc w:val="left"/>
              <w:rPr>
                <w:rFonts w:hint="eastAsia"/>
                <w:color w:val="auto"/>
                <w:lang w:val="en-US" w:eastAsia="zh-CN"/>
              </w:rPr>
            </w:pPr>
            <w:r>
              <w:rPr>
                <w:rFonts w:hint="eastAsia"/>
                <w:color w:val="auto"/>
                <w:lang w:val="en-US" w:eastAsia="zh-CN"/>
              </w:rPr>
              <w:t>楼、电梯间四角，楼梯斜梯段上下端对应的墙体处；</w:t>
            </w:r>
          </w:p>
          <w:p>
            <w:pPr>
              <w:pStyle w:val="24"/>
              <w:bidi w:val="0"/>
              <w:jc w:val="left"/>
              <w:rPr>
                <w:rFonts w:hint="eastAsia"/>
                <w:color w:val="auto"/>
                <w:lang w:val="en-US" w:eastAsia="zh-CN"/>
              </w:rPr>
            </w:pPr>
            <w:r>
              <w:rPr>
                <w:rFonts w:hint="eastAsia"/>
                <w:color w:val="auto"/>
                <w:lang w:val="en-US" w:eastAsia="zh-CN"/>
              </w:rPr>
              <w:t>外墙四角和对应转角；错层部位横墙与外纵墙交接处；大房间内外墙交接处；较大洞口两侧</w:t>
            </w:r>
          </w:p>
        </w:tc>
        <w:tc>
          <w:tcPr>
            <w:tcW w:w="2640" w:type="pct"/>
            <w:tcBorders>
              <w:tl2br w:val="nil"/>
              <w:tr2bl w:val="nil"/>
            </w:tcBorders>
            <w:vAlign w:val="center"/>
          </w:tcPr>
          <w:p>
            <w:pPr>
              <w:pStyle w:val="24"/>
              <w:bidi w:val="0"/>
              <w:jc w:val="left"/>
              <w:rPr>
                <w:rFonts w:hint="default"/>
                <w:color w:val="auto"/>
                <w:lang w:val="en-US" w:eastAsia="zh-CN"/>
              </w:rPr>
            </w:pPr>
            <w:r>
              <w:rPr>
                <w:rFonts w:hint="default"/>
                <w:color w:val="auto"/>
                <w:lang w:val="en-US" w:eastAsia="zh-CN"/>
              </w:rPr>
              <w:t>隔12m或单元横墙与外纵墙交接</w:t>
            </w:r>
            <w:r>
              <w:rPr>
                <w:rFonts w:hint="eastAsia"/>
                <w:color w:val="auto"/>
                <w:lang w:val="en-US" w:eastAsia="zh-CN"/>
              </w:rPr>
              <w:t>处；</w:t>
            </w:r>
            <w:r>
              <w:rPr>
                <w:rFonts w:hint="default"/>
                <w:color w:val="auto"/>
                <w:lang w:val="en-US" w:eastAsia="zh-CN"/>
              </w:rPr>
              <w:t>楼梯间对应的另一侧内横墙与外纵墙交接处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12"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6</w:t>
            </w:r>
          </w:p>
        </w:tc>
        <w:tc>
          <w:tcPr>
            <w:tcW w:w="1646" w:type="pct"/>
            <w:vMerge w:val="continue"/>
            <w:tcBorders>
              <w:tl2br w:val="nil"/>
              <w:tr2bl w:val="nil"/>
            </w:tcBorders>
            <w:vAlign w:val="center"/>
          </w:tcPr>
          <w:p>
            <w:pPr>
              <w:pStyle w:val="24"/>
              <w:bidi w:val="0"/>
              <w:rPr>
                <w:rFonts w:hint="eastAsia"/>
                <w:color w:val="auto"/>
                <w:lang w:val="en-US" w:eastAsia="zh-CN"/>
              </w:rPr>
            </w:pPr>
          </w:p>
        </w:tc>
        <w:tc>
          <w:tcPr>
            <w:tcW w:w="2640" w:type="pct"/>
            <w:tcBorders>
              <w:tl2br w:val="nil"/>
              <w:tr2bl w:val="nil"/>
            </w:tcBorders>
            <w:vAlign w:val="center"/>
          </w:tcPr>
          <w:p>
            <w:pPr>
              <w:pStyle w:val="24"/>
              <w:bidi w:val="0"/>
              <w:jc w:val="left"/>
              <w:rPr>
                <w:rFonts w:hint="default"/>
                <w:color w:val="auto"/>
                <w:lang w:val="en-US" w:eastAsia="zh-CN"/>
              </w:rPr>
            </w:pPr>
            <w:r>
              <w:rPr>
                <w:rFonts w:hint="default"/>
                <w:color w:val="auto"/>
                <w:lang w:val="en-US" w:eastAsia="zh-CN"/>
              </w:rPr>
              <w:t>隔开间横墙(轴线)与外墙</w:t>
            </w:r>
            <w:r>
              <w:rPr>
                <w:rFonts w:hint="eastAsia"/>
                <w:color w:val="auto"/>
                <w:lang w:val="en-US" w:eastAsia="zh-CN"/>
              </w:rPr>
              <w:t>交接</w:t>
            </w:r>
            <w:r>
              <w:rPr>
                <w:rFonts w:hint="default"/>
                <w:color w:val="auto"/>
                <w:lang w:val="en-US" w:eastAsia="zh-CN"/>
              </w:rPr>
              <w:t>处</w:t>
            </w:r>
            <w:r>
              <w:rPr>
                <w:rFonts w:hint="eastAsia"/>
                <w:color w:val="auto"/>
                <w:lang w:val="en-US" w:eastAsia="zh-CN"/>
              </w:rPr>
              <w:t>；</w:t>
            </w:r>
            <w:r>
              <w:rPr>
                <w:rFonts w:hint="default"/>
                <w:color w:val="auto"/>
                <w:lang w:val="en-US" w:eastAsia="zh-CN"/>
              </w:rPr>
              <w:t>山墙与内纵墙交接处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12" w:type="pct"/>
            <w:tcBorders>
              <w:tl2br w:val="nil"/>
              <w:tr2bl w:val="nil"/>
            </w:tcBorders>
            <w:vAlign w:val="center"/>
          </w:tcPr>
          <w:p>
            <w:pPr>
              <w:pStyle w:val="24"/>
              <w:bidi w:val="0"/>
              <w:rPr>
                <w:rFonts w:hint="eastAsia"/>
                <w:color w:val="auto"/>
                <w:lang w:val="en-US" w:eastAsia="zh-CN"/>
              </w:rPr>
            </w:pPr>
            <w:r>
              <w:rPr>
                <w:rFonts w:hint="eastAsia"/>
                <w:color w:val="auto"/>
                <w:lang w:val="en-US" w:eastAsia="zh-CN"/>
              </w:rPr>
              <w:t>7</w:t>
            </w:r>
          </w:p>
        </w:tc>
        <w:tc>
          <w:tcPr>
            <w:tcW w:w="1646" w:type="pct"/>
            <w:vMerge w:val="continue"/>
            <w:tcBorders>
              <w:tl2br w:val="nil"/>
              <w:tr2bl w:val="nil"/>
            </w:tcBorders>
            <w:vAlign w:val="center"/>
          </w:tcPr>
          <w:p>
            <w:pPr>
              <w:pStyle w:val="24"/>
              <w:bidi w:val="0"/>
              <w:rPr>
                <w:rFonts w:hint="eastAsia"/>
                <w:color w:val="auto"/>
                <w:lang w:val="en-US" w:eastAsia="zh-CN"/>
              </w:rPr>
            </w:pPr>
          </w:p>
        </w:tc>
        <w:tc>
          <w:tcPr>
            <w:tcW w:w="2640" w:type="pct"/>
            <w:tcBorders>
              <w:tl2br w:val="nil"/>
              <w:tr2bl w:val="nil"/>
            </w:tcBorders>
            <w:vAlign w:val="center"/>
          </w:tcPr>
          <w:p>
            <w:pPr>
              <w:pStyle w:val="24"/>
              <w:bidi w:val="0"/>
              <w:jc w:val="left"/>
              <w:rPr>
                <w:rFonts w:hint="default"/>
                <w:color w:val="auto"/>
                <w:lang w:val="en-US" w:eastAsia="zh-CN"/>
              </w:rPr>
            </w:pPr>
            <w:r>
              <w:rPr>
                <w:rFonts w:hint="default"/>
                <w:color w:val="auto"/>
                <w:lang w:val="en-US" w:eastAsia="zh-CN"/>
              </w:rPr>
              <w:t>内墙(轴线)与外墙交接处</w:t>
            </w:r>
            <w:r>
              <w:rPr>
                <w:rFonts w:hint="eastAsia"/>
                <w:color w:val="auto"/>
                <w:lang w:val="en-US" w:eastAsia="zh-CN"/>
              </w:rPr>
              <w:t>；</w:t>
            </w:r>
            <w:r>
              <w:rPr>
                <w:rFonts w:hint="default"/>
                <w:color w:val="auto"/>
                <w:lang w:val="en-US" w:eastAsia="zh-CN"/>
              </w:rPr>
              <w:t>内墙的局部较小墙垛处</w:t>
            </w:r>
            <w:r>
              <w:rPr>
                <w:rFonts w:hint="eastAsia"/>
                <w:color w:val="auto"/>
                <w:lang w:val="en-US" w:eastAsia="zh-CN"/>
              </w:rPr>
              <w:t>；</w:t>
            </w:r>
            <w:r>
              <w:rPr>
                <w:rFonts w:hint="default"/>
                <w:color w:val="auto"/>
                <w:lang w:val="en-US" w:eastAsia="zh-CN"/>
              </w:rPr>
              <w:t>内纵墙与横墙(轴线)交接处</w:t>
            </w:r>
          </w:p>
        </w:tc>
      </w:tr>
    </w:tbl>
    <w:p>
      <w:pPr>
        <w:pStyle w:val="28"/>
        <w:bidi w:val="0"/>
        <w:rPr>
          <w:rFonts w:hint="eastAsia"/>
          <w:color w:val="auto"/>
          <w:lang w:val="en-US" w:eastAsia="zh-CN"/>
        </w:rPr>
      </w:pPr>
      <w:r>
        <w:rPr>
          <w:rFonts w:hint="eastAsia"/>
          <w:color w:val="auto"/>
          <w:lang w:val="en-US" w:eastAsia="zh-CN"/>
        </w:rPr>
        <w:t>注：较大洞口，内墙指不小于2.1m的洞口；外墙在内外墙交接处已设置构造柱时允许适当放宽，但洞侧墙体应加强。</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_Ref22247 \n \h </w:instrText>
      </w:r>
      <w:r>
        <w:rPr>
          <w:rFonts w:hint="eastAsia"/>
          <w:color w:val="auto"/>
          <w:lang w:val="en-US" w:eastAsia="zh-CN"/>
        </w:rPr>
        <w:fldChar w:fldCharType="separate"/>
      </w:r>
      <w:r>
        <w:rPr>
          <w:rFonts w:hint="eastAsia"/>
          <w:color w:val="auto"/>
          <w:lang w:val="en-US" w:eastAsia="zh-CN"/>
        </w:rPr>
        <w:t>7.2.4</w:t>
      </w:r>
      <w:r>
        <w:rPr>
          <w:rFonts w:hint="eastAsia"/>
          <w:color w:val="auto"/>
          <w:lang w:val="en-US" w:eastAsia="zh-CN"/>
        </w:rPr>
        <w:fldChar w:fldCharType="end"/>
      </w:r>
      <w:r>
        <w:rPr>
          <w:rFonts w:hint="eastAsia"/>
          <w:color w:val="auto"/>
          <w:lang w:val="en-US" w:eastAsia="zh-CN"/>
        </w:rPr>
        <w:t>-2 多层小砌块砌体中芯柱设置要求</w:t>
      </w:r>
    </w:p>
    <w:tbl>
      <w:tblPr>
        <w:tblStyle w:val="21"/>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739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62"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建筑层数</w:t>
            </w:r>
          </w:p>
        </w:tc>
        <w:tc>
          <w:tcPr>
            <w:tcW w:w="4337"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设置部位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62" w:type="pct"/>
            <w:tcBorders>
              <w:tl2br w:val="nil"/>
              <w:tr2bl w:val="nil"/>
            </w:tcBorders>
            <w:vAlign w:val="center"/>
          </w:tcPr>
          <w:p>
            <w:pPr>
              <w:pStyle w:val="24"/>
              <w:bidi w:val="0"/>
              <w:jc w:val="center"/>
              <w:rPr>
                <w:rFonts w:hint="default"/>
                <w:color w:val="auto"/>
                <w:lang w:val="en-US" w:eastAsia="zh-CN"/>
              </w:rPr>
            </w:pPr>
            <w:r>
              <w:rPr>
                <w:rFonts w:hint="eastAsia"/>
                <w:color w:val="auto"/>
                <w:lang w:val="en-US" w:eastAsia="zh-CN"/>
              </w:rPr>
              <w:t>4、5</w:t>
            </w:r>
          </w:p>
        </w:tc>
        <w:tc>
          <w:tcPr>
            <w:tcW w:w="4337" w:type="pct"/>
            <w:tcBorders>
              <w:tl2br w:val="nil"/>
              <w:tr2bl w:val="nil"/>
            </w:tcBorders>
            <w:vAlign w:val="center"/>
          </w:tcPr>
          <w:p>
            <w:pPr>
              <w:pStyle w:val="24"/>
              <w:bidi w:val="0"/>
              <w:jc w:val="left"/>
              <w:rPr>
                <w:rFonts w:hint="default"/>
                <w:color w:val="auto"/>
                <w:lang w:val="en-US" w:eastAsia="zh-CN"/>
              </w:rPr>
            </w:pPr>
            <w:r>
              <w:rPr>
                <w:rFonts w:hint="eastAsia"/>
                <w:color w:val="auto"/>
                <w:lang w:val="en-US" w:eastAsia="zh-CN"/>
              </w:rPr>
              <w:t xml:space="preserve">外墙转角，楼、电梯间四角，楼梯斜梯段上下端对应的墙体处；大房间内外墙交接处；错层部位横墙与外纵墙交接处；隔 </w:t>
            </w:r>
            <w:r>
              <w:rPr>
                <w:rFonts w:hint="default"/>
                <w:color w:val="auto"/>
                <w:lang w:val="en-US" w:eastAsia="zh-CN"/>
              </w:rPr>
              <w:t>12m</w:t>
            </w:r>
            <w:r>
              <w:rPr>
                <w:rFonts w:hint="eastAsia"/>
                <w:color w:val="auto"/>
                <w:lang w:val="en-US" w:eastAsia="zh-CN"/>
              </w:rPr>
              <w:t>或单元横墙与外纵墙交接处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pct"/>
            <w:tcBorders>
              <w:tl2br w:val="nil"/>
              <w:tr2bl w:val="nil"/>
            </w:tcBorders>
            <w:vAlign w:val="center"/>
          </w:tcPr>
          <w:p>
            <w:pPr>
              <w:pStyle w:val="24"/>
              <w:bidi w:val="0"/>
              <w:rPr>
                <w:rFonts w:hint="default"/>
                <w:color w:val="auto"/>
                <w:lang w:val="en-US" w:eastAsia="zh-CN"/>
              </w:rPr>
            </w:pPr>
            <w:r>
              <w:rPr>
                <w:rFonts w:hint="eastAsia"/>
                <w:color w:val="auto"/>
                <w:lang w:val="en-US" w:eastAsia="zh-CN"/>
              </w:rPr>
              <w:t>6</w:t>
            </w:r>
          </w:p>
        </w:tc>
        <w:tc>
          <w:tcPr>
            <w:tcW w:w="4337" w:type="pct"/>
            <w:tcBorders>
              <w:tl2br w:val="nil"/>
              <w:tr2bl w:val="nil"/>
            </w:tcBorders>
            <w:vAlign w:val="center"/>
          </w:tcPr>
          <w:p>
            <w:pPr>
              <w:pStyle w:val="24"/>
              <w:bidi w:val="0"/>
              <w:jc w:val="left"/>
              <w:rPr>
                <w:rFonts w:hint="default"/>
                <w:color w:val="auto"/>
                <w:lang w:val="en-US" w:eastAsia="zh-CN"/>
              </w:rPr>
            </w:pPr>
            <w:r>
              <w:rPr>
                <w:rFonts w:hint="eastAsia"/>
                <w:color w:val="auto"/>
                <w:lang w:val="en-US" w:eastAsia="zh-CN"/>
              </w:rPr>
              <w:t>同上；隔开间横墙（轴线）与外纵墙交接处</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662" w:type="pct"/>
            <w:tcBorders>
              <w:tl2br w:val="nil"/>
              <w:tr2bl w:val="nil"/>
            </w:tcBorders>
            <w:vAlign w:val="center"/>
          </w:tcPr>
          <w:p>
            <w:pPr>
              <w:pStyle w:val="24"/>
              <w:bidi w:val="0"/>
              <w:rPr>
                <w:rFonts w:hint="eastAsia"/>
                <w:color w:val="auto"/>
                <w:lang w:val="en-US" w:eastAsia="zh-CN"/>
              </w:rPr>
            </w:pPr>
            <w:r>
              <w:rPr>
                <w:rFonts w:hint="eastAsia"/>
                <w:color w:val="auto"/>
                <w:lang w:val="en-US" w:eastAsia="zh-CN"/>
              </w:rPr>
              <w:t>7</w:t>
            </w:r>
          </w:p>
        </w:tc>
        <w:tc>
          <w:tcPr>
            <w:tcW w:w="4337" w:type="pct"/>
            <w:tcBorders>
              <w:tl2br w:val="nil"/>
              <w:tr2bl w:val="nil"/>
            </w:tcBorders>
            <w:vAlign w:val="center"/>
          </w:tcPr>
          <w:p>
            <w:pPr>
              <w:pStyle w:val="24"/>
              <w:bidi w:val="0"/>
              <w:jc w:val="left"/>
              <w:rPr>
                <w:rFonts w:hint="default"/>
                <w:color w:val="auto"/>
                <w:lang w:val="en-US" w:eastAsia="zh-CN"/>
              </w:rPr>
            </w:pPr>
            <w:r>
              <w:rPr>
                <w:rFonts w:hint="eastAsia"/>
                <w:color w:val="auto"/>
                <w:lang w:val="en-US" w:eastAsia="zh-CN"/>
              </w:rPr>
              <w:t>同上；各内墙（轴线）与外纵墙交接处；内纵墙与横墙（轴线）交接处和 洞口两侧</w:t>
            </w:r>
          </w:p>
        </w:tc>
      </w:tr>
    </w:tbl>
    <w:p>
      <w:pPr>
        <w:pStyle w:val="28"/>
        <w:bidi w:val="0"/>
        <w:rPr>
          <w:rFonts w:hint="eastAsia"/>
          <w:color w:val="auto"/>
          <w:lang w:val="en-US" w:eastAsia="zh-CN"/>
        </w:rPr>
      </w:pPr>
      <w:r>
        <w:rPr>
          <w:rFonts w:hint="eastAsia"/>
          <w:color w:val="auto"/>
          <w:lang w:val="en-US" w:eastAsia="zh-CN"/>
        </w:rPr>
        <w:t>注：外墙转角、内外墙交接处、楼电梯间四角等部位，允许采用钢筋混凝土构造柱替代部分芯柱。</w:t>
      </w:r>
    </w:p>
    <w:p>
      <w:pPr>
        <w:pStyle w:val="5"/>
        <w:bidi w:val="0"/>
        <w:ind w:left="0" w:leftChars="0" w:firstLine="0" w:firstLineChars="0"/>
        <w:rPr>
          <w:rFonts w:hint="eastAsia"/>
          <w:color w:val="auto"/>
          <w:lang w:val="en-US" w:eastAsia="zh-CN"/>
        </w:rPr>
      </w:pPr>
      <w:r>
        <w:rPr>
          <w:rFonts w:hint="eastAsia"/>
          <w:color w:val="auto"/>
          <w:lang w:val="en-US" w:eastAsia="zh-CN"/>
        </w:rPr>
        <w:t>砌体结构圈梁布置应满足下列基本要求：</w:t>
      </w:r>
    </w:p>
    <w:p>
      <w:pPr>
        <w:pStyle w:val="36"/>
        <w:bidi w:val="0"/>
        <w:rPr>
          <w:rFonts w:hint="eastAsia"/>
          <w:color w:val="auto"/>
          <w:lang w:val="en-US" w:eastAsia="zh-CN"/>
        </w:rPr>
      </w:pPr>
      <w:r>
        <w:rPr>
          <w:rFonts w:hint="eastAsia"/>
          <w:color w:val="auto"/>
          <w:lang w:val="en-US" w:eastAsia="zh-CN"/>
        </w:rPr>
        <w:t>对于多层砌体民用建筑，当层数为3层、4层时，应在底层和檐口标高处各设置一道圈梁，当层数超过4层时，至少还应在所有纵、横墙上隔层设置圈梁；</w:t>
      </w:r>
    </w:p>
    <w:p>
      <w:pPr>
        <w:pStyle w:val="36"/>
        <w:bidi w:val="0"/>
        <w:rPr>
          <w:rFonts w:hint="eastAsia"/>
          <w:color w:val="auto"/>
          <w:lang w:val="en-US" w:eastAsia="zh-CN"/>
        </w:rPr>
      </w:pPr>
      <w:r>
        <w:rPr>
          <w:rFonts w:hint="eastAsia"/>
          <w:color w:val="auto"/>
          <w:lang w:val="en-US" w:eastAsia="zh-CN"/>
        </w:rPr>
        <w:t>设置墙梁的多层砌体结构，应在托梁、墙梁顶面和檐口标高处设置圈梁。</w:t>
      </w:r>
    </w:p>
    <w:p>
      <w:pPr>
        <w:pStyle w:val="5"/>
        <w:bidi w:val="0"/>
        <w:ind w:left="0" w:leftChars="0" w:firstLine="0" w:firstLineChars="0"/>
        <w:rPr>
          <w:rFonts w:hint="default"/>
          <w:color w:val="auto"/>
          <w:lang w:val="en-US" w:eastAsia="zh-CN"/>
        </w:rPr>
      </w:pPr>
      <w:bookmarkStart w:id="54" w:name="_Ref32093"/>
      <w:bookmarkStart w:id="55" w:name="_Ref9440"/>
      <w:r>
        <w:rPr>
          <w:rFonts w:hint="eastAsia"/>
          <w:color w:val="auto"/>
          <w:lang w:val="en-US" w:eastAsia="zh-CN"/>
        </w:rPr>
        <w:t>砌体构件的高厚比不应超过表</w:t>
      </w:r>
      <w:r>
        <w:rPr>
          <w:rFonts w:hint="eastAsia"/>
          <w:color w:val="auto"/>
          <w:lang w:val="en-US" w:eastAsia="zh-CN"/>
        </w:rPr>
        <w:fldChar w:fldCharType="begin"/>
      </w:r>
      <w:r>
        <w:rPr>
          <w:rFonts w:hint="eastAsia"/>
          <w:color w:val="auto"/>
          <w:lang w:val="en-US" w:eastAsia="zh-CN"/>
        </w:rPr>
        <w:instrText xml:space="preserve"> REF _Ref9440 \n \h </w:instrText>
      </w:r>
      <w:r>
        <w:rPr>
          <w:rFonts w:hint="eastAsia"/>
          <w:color w:val="auto"/>
          <w:lang w:val="en-US" w:eastAsia="zh-CN"/>
        </w:rPr>
        <w:fldChar w:fldCharType="separate"/>
      </w:r>
      <w:r>
        <w:rPr>
          <w:rFonts w:hint="eastAsia"/>
          <w:color w:val="auto"/>
          <w:lang w:val="en-US" w:eastAsia="zh-CN"/>
        </w:rPr>
        <w:t>7.2.6</w:t>
      </w:r>
      <w:r>
        <w:rPr>
          <w:rFonts w:hint="eastAsia"/>
          <w:color w:val="auto"/>
          <w:lang w:val="en-US" w:eastAsia="zh-CN"/>
        </w:rPr>
        <w:fldChar w:fldCharType="end"/>
      </w:r>
      <w:r>
        <w:rPr>
          <w:rFonts w:hint="eastAsia"/>
          <w:color w:val="auto"/>
          <w:lang w:val="en-US" w:eastAsia="zh-CN"/>
        </w:rPr>
        <w:t>的限值。</w:t>
      </w:r>
      <w:bookmarkEnd w:id="54"/>
      <w:bookmarkEnd w:id="55"/>
    </w:p>
    <w:p>
      <w:pPr>
        <w:pStyle w:val="25"/>
        <w:bidi w:val="0"/>
        <w:rPr>
          <w:rFonts w:hint="default"/>
          <w:color w:val="auto"/>
          <w:lang w:val="en-US"/>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_Ref9440 \n \h </w:instrText>
      </w:r>
      <w:r>
        <w:rPr>
          <w:rFonts w:hint="eastAsia"/>
          <w:color w:val="auto"/>
          <w:lang w:val="en-US" w:eastAsia="zh-CN"/>
        </w:rPr>
        <w:fldChar w:fldCharType="separate"/>
      </w:r>
      <w:r>
        <w:rPr>
          <w:rFonts w:hint="eastAsia"/>
          <w:color w:val="auto"/>
          <w:lang w:val="en-US" w:eastAsia="zh-CN"/>
        </w:rPr>
        <w:t>7.2.6</w:t>
      </w:r>
      <w:r>
        <w:rPr>
          <w:rFonts w:hint="eastAsia"/>
          <w:color w:val="auto"/>
          <w:lang w:val="en-US" w:eastAsia="zh-CN"/>
        </w:rPr>
        <w:fldChar w:fldCharType="end"/>
      </w:r>
      <w:r>
        <w:rPr>
          <w:rFonts w:hint="eastAsia"/>
          <w:color w:val="auto"/>
        </w:rPr>
        <w:t xml:space="preserve"> </w:t>
      </w:r>
      <w:r>
        <w:rPr>
          <w:rFonts w:hint="eastAsia"/>
          <w:color w:val="auto"/>
          <w:lang w:val="en-US" w:eastAsia="zh-CN"/>
        </w:rPr>
        <w:t>砌体构件高厚比限值</w:t>
      </w:r>
    </w:p>
    <w:tbl>
      <w:tblPr>
        <w:tblStyle w:val="27"/>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297"/>
        <w:gridCol w:w="4258"/>
        <w:gridCol w:w="2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noWrap w:val="0"/>
            <w:vAlign w:val="center"/>
          </w:tcPr>
          <w:p>
            <w:pPr>
              <w:pStyle w:val="24"/>
              <w:bidi w:val="0"/>
              <w:rPr>
                <w:rFonts w:hint="default"/>
                <w:color w:val="auto"/>
                <w:lang w:val="en-US" w:eastAsia="zh-CN"/>
              </w:rPr>
            </w:pPr>
            <w:r>
              <w:rPr>
                <w:rFonts w:hint="eastAsia"/>
                <w:color w:val="auto"/>
                <w:lang w:val="en-US" w:eastAsia="zh-CN"/>
              </w:rPr>
              <w:t>检查项目</w:t>
            </w:r>
          </w:p>
        </w:tc>
        <w:tc>
          <w:tcPr>
            <w:tcW w:w="2542" w:type="pct"/>
            <w:noWrap w:val="0"/>
            <w:vAlign w:val="center"/>
          </w:tcPr>
          <w:p>
            <w:pPr>
              <w:pStyle w:val="24"/>
              <w:bidi w:val="0"/>
              <w:rPr>
                <w:color w:val="auto"/>
              </w:rPr>
            </w:pPr>
            <w:r>
              <w:rPr>
                <w:rFonts w:hint="eastAsia"/>
                <w:color w:val="auto"/>
                <w:lang w:val="en-US" w:eastAsia="zh-CN"/>
              </w:rPr>
              <w:t>砂浆强度等级</w:t>
            </w:r>
          </w:p>
        </w:tc>
        <w:tc>
          <w:tcPr>
            <w:tcW w:w="1682" w:type="pct"/>
            <w:noWrap w:val="0"/>
            <w:vAlign w:val="center"/>
          </w:tcPr>
          <w:p>
            <w:pPr>
              <w:pStyle w:val="24"/>
              <w:bidi w:val="0"/>
              <w:rPr>
                <w:rFonts w:hint="eastAsia" w:eastAsia="宋体"/>
                <w:color w:val="auto"/>
                <w:lang w:val="en-US" w:eastAsia="zh-CN"/>
              </w:rPr>
            </w:pPr>
            <w:r>
              <w:rPr>
                <w:rFonts w:hint="eastAsia"/>
                <w:color w:val="auto"/>
                <w:lang w:val="en-US" w:eastAsia="zh-CN"/>
              </w:rPr>
              <w:t>高厚比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vMerge w:val="restart"/>
            <w:noWrap w:val="0"/>
            <w:vAlign w:val="center"/>
          </w:tcPr>
          <w:p>
            <w:pPr>
              <w:pStyle w:val="24"/>
              <w:bidi w:val="0"/>
              <w:rPr>
                <w:color w:val="auto"/>
              </w:rPr>
            </w:pPr>
            <w:r>
              <w:rPr>
                <w:rFonts w:hint="eastAsia"/>
                <w:color w:val="auto"/>
                <w:lang w:val="en-US" w:eastAsia="zh-CN"/>
              </w:rPr>
              <w:t>墙</w:t>
            </w:r>
          </w:p>
        </w:tc>
        <w:tc>
          <w:tcPr>
            <w:tcW w:w="2542" w:type="pct"/>
            <w:noWrap w:val="0"/>
            <w:vAlign w:val="center"/>
          </w:tcPr>
          <w:p>
            <w:pPr>
              <w:pStyle w:val="24"/>
              <w:bidi w:val="0"/>
              <w:rPr>
                <w:rFonts w:hint="default"/>
                <w:color w:val="auto"/>
                <w:lang w:val="en-US" w:eastAsia="zh-CN"/>
              </w:rPr>
            </w:pPr>
            <w:r>
              <w:rPr>
                <w:rFonts w:hint="eastAsia"/>
                <w:color w:val="auto"/>
                <w:lang w:val="en-US" w:eastAsia="zh-CN"/>
              </w:rPr>
              <w:t>M0</w:t>
            </w:r>
          </w:p>
        </w:tc>
        <w:tc>
          <w:tcPr>
            <w:tcW w:w="1682" w:type="pct"/>
            <w:shd w:val="clear" w:color="auto" w:fill="auto"/>
            <w:noWrap w:val="0"/>
            <w:vAlign w:val="center"/>
          </w:tcPr>
          <w:p>
            <w:pPr>
              <w:pStyle w:val="24"/>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vMerge w:val="continue"/>
            <w:noWrap w:val="0"/>
            <w:vAlign w:val="center"/>
          </w:tcPr>
          <w:p>
            <w:pPr>
              <w:pStyle w:val="24"/>
              <w:bidi w:val="0"/>
              <w:rPr>
                <w:rFonts w:hint="eastAsia"/>
                <w:color w:val="auto"/>
                <w:lang w:val="en-US" w:eastAsia="zh-CN"/>
              </w:rPr>
            </w:pPr>
          </w:p>
        </w:tc>
        <w:tc>
          <w:tcPr>
            <w:tcW w:w="2542" w:type="pct"/>
            <w:noWrap w:val="0"/>
            <w:vAlign w:val="center"/>
          </w:tcPr>
          <w:p>
            <w:pPr>
              <w:pStyle w:val="24"/>
              <w:bidi w:val="0"/>
              <w:ind w:firstLine="0" w:firstLineChars="0"/>
              <w:rPr>
                <w:rFonts w:hint="eastAsia"/>
                <w:color w:val="auto"/>
                <w:lang w:val="en-US" w:eastAsia="zh-CN"/>
              </w:rPr>
            </w:pPr>
            <w:r>
              <w:rPr>
                <w:rFonts w:hint="eastAsia"/>
                <w:color w:val="auto"/>
                <w:lang w:val="en-US" w:eastAsia="zh-CN"/>
              </w:rPr>
              <w:t>M2.5</w:t>
            </w:r>
          </w:p>
        </w:tc>
        <w:tc>
          <w:tcPr>
            <w:tcW w:w="1682" w:type="pct"/>
            <w:shd w:val="clear" w:color="auto" w:fill="auto"/>
            <w:noWrap w:val="0"/>
            <w:vAlign w:val="center"/>
          </w:tcPr>
          <w:p>
            <w:pPr>
              <w:pStyle w:val="24"/>
              <w:bidi w:val="0"/>
              <w:ind w:firstLine="0" w:firstLineChars="0"/>
              <w:rPr>
                <w:rFonts w:hint="eastAsia"/>
                <w:color w:val="auto"/>
                <w:highlight w:val="none"/>
                <w:lang w:val="en-US" w:eastAsia="zh-CN"/>
              </w:rPr>
            </w:pPr>
            <w:r>
              <w:rPr>
                <w:rFonts w:hint="eastAsia"/>
                <w:color w:val="auto"/>
                <w:highlight w:val="none"/>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vMerge w:val="continue"/>
            <w:noWrap w:val="0"/>
            <w:vAlign w:val="center"/>
          </w:tcPr>
          <w:p>
            <w:pPr>
              <w:pStyle w:val="24"/>
              <w:bidi w:val="0"/>
              <w:rPr>
                <w:rFonts w:hint="default"/>
                <w:color w:val="auto"/>
                <w:lang w:val="en-US" w:eastAsia="zh-CN"/>
              </w:rPr>
            </w:pPr>
          </w:p>
        </w:tc>
        <w:tc>
          <w:tcPr>
            <w:tcW w:w="2542" w:type="pct"/>
            <w:noWrap w:val="0"/>
            <w:vAlign w:val="center"/>
          </w:tcPr>
          <w:p>
            <w:pPr>
              <w:pStyle w:val="24"/>
              <w:bidi w:val="0"/>
              <w:rPr>
                <w:rFonts w:hint="default"/>
                <w:color w:val="auto"/>
                <w:lang w:val="en-US" w:eastAsia="zh-CN"/>
              </w:rPr>
            </w:pPr>
            <w:r>
              <w:rPr>
                <w:rFonts w:hint="eastAsia"/>
                <w:color w:val="auto"/>
                <w:lang w:val="en-US" w:eastAsia="zh-CN"/>
              </w:rPr>
              <w:t>M5.0或Mb5.0，Ms5.0</w:t>
            </w:r>
          </w:p>
        </w:tc>
        <w:tc>
          <w:tcPr>
            <w:tcW w:w="1682" w:type="pct"/>
            <w:shd w:val="clear" w:color="auto" w:fill="auto"/>
            <w:noWrap w:val="0"/>
            <w:vAlign w:val="center"/>
          </w:tcPr>
          <w:p>
            <w:pPr>
              <w:pStyle w:val="24"/>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vMerge w:val="continue"/>
            <w:noWrap w:val="0"/>
            <w:vAlign w:val="center"/>
          </w:tcPr>
          <w:p>
            <w:pPr>
              <w:pStyle w:val="24"/>
              <w:bidi w:val="0"/>
              <w:rPr>
                <w:rFonts w:hint="default"/>
                <w:color w:val="auto"/>
                <w:lang w:val="en-US" w:eastAsia="zh-CN"/>
              </w:rPr>
            </w:pPr>
          </w:p>
        </w:tc>
        <w:tc>
          <w:tcPr>
            <w:tcW w:w="2542" w:type="pct"/>
            <w:noWrap w:val="0"/>
            <w:vAlign w:val="center"/>
          </w:tcPr>
          <w:p>
            <w:pPr>
              <w:pStyle w:val="24"/>
              <w:bidi w:val="0"/>
              <w:rPr>
                <w:rFonts w:hint="default"/>
                <w:color w:val="auto"/>
                <w:lang w:val="en-US" w:eastAsia="zh-CN"/>
              </w:rPr>
            </w:pPr>
            <w:r>
              <w:rPr>
                <w:rFonts w:hint="eastAsia"/>
                <w:color w:val="auto"/>
                <w:lang w:val="en-US" w:eastAsia="zh-CN"/>
              </w:rPr>
              <w:t>≥M7.5或Mb7.5，Ms7.5</w:t>
            </w:r>
          </w:p>
        </w:tc>
        <w:tc>
          <w:tcPr>
            <w:tcW w:w="1682" w:type="pct"/>
            <w:shd w:val="clear" w:color="auto" w:fill="auto"/>
            <w:noWrap w:val="0"/>
            <w:vAlign w:val="center"/>
          </w:tcPr>
          <w:p>
            <w:pPr>
              <w:pStyle w:val="24"/>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vMerge w:val="restart"/>
            <w:noWrap w:val="0"/>
            <w:vAlign w:val="center"/>
          </w:tcPr>
          <w:p>
            <w:pPr>
              <w:pStyle w:val="24"/>
              <w:bidi w:val="0"/>
              <w:rPr>
                <w:color w:val="auto"/>
              </w:rPr>
            </w:pPr>
            <w:r>
              <w:rPr>
                <w:rFonts w:hint="eastAsia"/>
                <w:color w:val="auto"/>
                <w:lang w:val="en-US" w:eastAsia="zh-CN"/>
              </w:rPr>
              <w:t>柱</w:t>
            </w:r>
          </w:p>
        </w:tc>
        <w:tc>
          <w:tcPr>
            <w:tcW w:w="2542" w:type="pct"/>
            <w:noWrap w:val="0"/>
            <w:vAlign w:val="center"/>
          </w:tcPr>
          <w:p>
            <w:pPr>
              <w:pStyle w:val="24"/>
              <w:bidi w:val="0"/>
              <w:rPr>
                <w:rFonts w:hint="default"/>
                <w:color w:val="auto"/>
                <w:lang w:val="en-US" w:eastAsia="zh-CN"/>
              </w:rPr>
            </w:pPr>
            <w:r>
              <w:rPr>
                <w:rFonts w:hint="eastAsia"/>
                <w:color w:val="auto"/>
                <w:lang w:val="en-US" w:eastAsia="zh-CN"/>
              </w:rPr>
              <w:t>M0</w:t>
            </w:r>
          </w:p>
        </w:tc>
        <w:tc>
          <w:tcPr>
            <w:tcW w:w="1682" w:type="pct"/>
            <w:shd w:val="clear" w:color="auto" w:fill="auto"/>
            <w:noWrap w:val="0"/>
            <w:vAlign w:val="center"/>
          </w:tcPr>
          <w:p>
            <w:pPr>
              <w:pStyle w:val="24"/>
              <w:bidi w:val="0"/>
              <w:ind w:firstLine="0" w:firstLineChars="0"/>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vMerge w:val="continue"/>
            <w:noWrap w:val="0"/>
            <w:vAlign w:val="center"/>
          </w:tcPr>
          <w:p>
            <w:pPr>
              <w:pStyle w:val="24"/>
              <w:bidi w:val="0"/>
              <w:rPr>
                <w:rFonts w:hint="eastAsia"/>
                <w:color w:val="auto"/>
                <w:lang w:val="en-US" w:eastAsia="zh-CN"/>
              </w:rPr>
            </w:pPr>
          </w:p>
        </w:tc>
        <w:tc>
          <w:tcPr>
            <w:tcW w:w="2542" w:type="pct"/>
            <w:noWrap w:val="0"/>
            <w:vAlign w:val="center"/>
          </w:tcPr>
          <w:p>
            <w:pPr>
              <w:pStyle w:val="24"/>
              <w:bidi w:val="0"/>
              <w:ind w:firstLine="0" w:firstLineChars="0"/>
              <w:rPr>
                <w:rFonts w:hint="eastAsia"/>
                <w:color w:val="auto"/>
                <w:lang w:val="en-US" w:eastAsia="zh-CN"/>
              </w:rPr>
            </w:pPr>
            <w:r>
              <w:rPr>
                <w:rFonts w:hint="eastAsia"/>
                <w:color w:val="auto"/>
                <w:lang w:val="en-US" w:eastAsia="zh-CN"/>
              </w:rPr>
              <w:t>M2.5</w:t>
            </w:r>
          </w:p>
        </w:tc>
        <w:tc>
          <w:tcPr>
            <w:tcW w:w="1682" w:type="pct"/>
            <w:shd w:val="clear" w:color="auto" w:fill="auto"/>
            <w:noWrap w:val="0"/>
            <w:vAlign w:val="center"/>
          </w:tcPr>
          <w:p>
            <w:pPr>
              <w:pStyle w:val="24"/>
              <w:bidi w:val="0"/>
              <w:ind w:firstLine="0" w:firstLineChars="0"/>
              <w:rPr>
                <w:rFonts w:hint="eastAsia"/>
                <w:color w:val="auto"/>
                <w:highlight w:val="none"/>
                <w:lang w:val="en-US" w:eastAsia="zh-CN"/>
              </w:rPr>
            </w:pPr>
            <w:r>
              <w:rPr>
                <w:rFonts w:hint="eastAsia"/>
                <w:color w:val="auto"/>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vMerge w:val="continue"/>
            <w:noWrap w:val="0"/>
            <w:vAlign w:val="center"/>
          </w:tcPr>
          <w:p>
            <w:pPr>
              <w:pStyle w:val="24"/>
              <w:bidi w:val="0"/>
              <w:rPr>
                <w:rFonts w:hint="default"/>
                <w:color w:val="auto"/>
                <w:lang w:val="en-US" w:eastAsia="zh-CN"/>
              </w:rPr>
            </w:pPr>
          </w:p>
        </w:tc>
        <w:tc>
          <w:tcPr>
            <w:tcW w:w="2542" w:type="pct"/>
            <w:noWrap w:val="0"/>
            <w:vAlign w:val="center"/>
          </w:tcPr>
          <w:p>
            <w:pPr>
              <w:pStyle w:val="24"/>
              <w:bidi w:val="0"/>
              <w:rPr>
                <w:rFonts w:hint="default"/>
                <w:color w:val="auto"/>
                <w:lang w:val="en-US" w:eastAsia="zh-CN"/>
              </w:rPr>
            </w:pPr>
            <w:r>
              <w:rPr>
                <w:rFonts w:hint="eastAsia"/>
                <w:color w:val="auto"/>
                <w:lang w:val="en-US" w:eastAsia="zh-CN"/>
              </w:rPr>
              <w:t>M5.0或Mb5.0，Ms5.0</w:t>
            </w:r>
          </w:p>
        </w:tc>
        <w:tc>
          <w:tcPr>
            <w:tcW w:w="1682" w:type="pct"/>
            <w:shd w:val="clear" w:color="auto" w:fill="auto"/>
            <w:noWrap w:val="0"/>
            <w:vAlign w:val="center"/>
          </w:tcPr>
          <w:p>
            <w:pPr>
              <w:pStyle w:val="24"/>
              <w:bidi w:val="0"/>
              <w:ind w:firstLine="0" w:firstLineChars="0"/>
              <w:rPr>
                <w:rFonts w:hint="default" w:ascii="Times New Roman" w:hAnsi="Times New Roman" w:eastAsia="宋体" w:cs="Times New Roman"/>
                <w:color w:val="auto"/>
                <w:kern w:val="2"/>
                <w:sz w:val="21"/>
                <w:szCs w:val="21"/>
                <w:highlight w:val="none"/>
                <w:lang w:val="en-US" w:eastAsia="en-US" w:bidi="ar-SA"/>
              </w:rPr>
            </w:pPr>
            <w:r>
              <w:rPr>
                <w:rFonts w:hint="eastAsia"/>
                <w:color w:val="auto"/>
                <w:highlight w:val="none"/>
                <w:lang w:val="en-US" w:eastAsia="zh-CN"/>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774" w:type="pct"/>
            <w:vMerge w:val="continue"/>
            <w:noWrap w:val="0"/>
            <w:vAlign w:val="center"/>
          </w:tcPr>
          <w:p>
            <w:pPr>
              <w:pStyle w:val="24"/>
              <w:bidi w:val="0"/>
              <w:rPr>
                <w:rFonts w:hint="default"/>
                <w:color w:val="auto"/>
                <w:lang w:val="en-US" w:eastAsia="zh-CN"/>
              </w:rPr>
            </w:pPr>
          </w:p>
        </w:tc>
        <w:tc>
          <w:tcPr>
            <w:tcW w:w="2542" w:type="pct"/>
            <w:noWrap w:val="0"/>
            <w:vAlign w:val="center"/>
          </w:tcPr>
          <w:p>
            <w:pPr>
              <w:pStyle w:val="24"/>
              <w:bidi w:val="0"/>
              <w:rPr>
                <w:rFonts w:hint="default"/>
                <w:color w:val="auto"/>
                <w:lang w:val="en-US" w:eastAsia="zh-CN"/>
              </w:rPr>
            </w:pPr>
            <w:r>
              <w:rPr>
                <w:rFonts w:hint="eastAsia"/>
                <w:color w:val="auto"/>
                <w:lang w:val="en-US" w:eastAsia="zh-CN"/>
              </w:rPr>
              <w:t>≥M7.5或Mb7.5，Ms7.5</w:t>
            </w:r>
          </w:p>
        </w:tc>
        <w:tc>
          <w:tcPr>
            <w:tcW w:w="1682" w:type="pct"/>
            <w:shd w:val="clear" w:color="auto" w:fill="auto"/>
            <w:noWrap w:val="0"/>
            <w:vAlign w:val="center"/>
          </w:tcPr>
          <w:p>
            <w:pPr>
              <w:pStyle w:val="24"/>
              <w:bidi w:val="0"/>
              <w:ind w:firstLine="0" w:firstLineChars="0"/>
              <w:rPr>
                <w:rFonts w:hint="default" w:ascii="Times New Roman" w:hAnsi="Times New Roman" w:eastAsia="宋体" w:cs="Times New Roman"/>
                <w:color w:val="auto"/>
                <w:kern w:val="2"/>
                <w:sz w:val="21"/>
                <w:szCs w:val="21"/>
                <w:highlight w:val="none"/>
                <w:lang w:val="en-US" w:eastAsia="en-US" w:bidi="ar-SA"/>
              </w:rPr>
            </w:pPr>
            <w:r>
              <w:rPr>
                <w:rFonts w:hint="eastAsia"/>
                <w:color w:val="auto"/>
                <w:highlight w:val="none"/>
                <w:lang w:val="en-US" w:eastAsia="zh-CN"/>
              </w:rPr>
              <w:t>17</w:t>
            </w:r>
          </w:p>
        </w:tc>
      </w:tr>
    </w:tbl>
    <w:p>
      <w:pPr>
        <w:pStyle w:val="39"/>
        <w:bidi w:val="0"/>
        <w:rPr>
          <w:rFonts w:hint="eastAsia"/>
          <w:color w:val="auto"/>
          <w:lang w:val="en-US" w:eastAsia="zh-CN"/>
        </w:rPr>
      </w:pPr>
      <w:r>
        <w:rPr>
          <w:rFonts w:hint="eastAsia"/>
          <w:color w:val="auto"/>
          <w:lang w:val="en-US" w:eastAsia="zh-CN"/>
        </w:rPr>
        <w:t>注：1 变截面柱的高厚比可按上、下截面分别评级，上柱的高厚比可按表</w:t>
      </w:r>
      <w:r>
        <w:rPr>
          <w:rFonts w:hint="eastAsia"/>
          <w:color w:val="auto"/>
          <w:lang w:val="en-US" w:eastAsia="zh-CN"/>
        </w:rPr>
        <w:fldChar w:fldCharType="begin"/>
      </w:r>
      <w:r>
        <w:rPr>
          <w:rFonts w:hint="eastAsia"/>
          <w:color w:val="auto"/>
          <w:lang w:val="en-US" w:eastAsia="zh-CN"/>
        </w:rPr>
        <w:instrText xml:space="preserve"> REF _Ref9440 \n \h </w:instrText>
      </w:r>
      <w:r>
        <w:rPr>
          <w:rFonts w:hint="eastAsia"/>
          <w:color w:val="auto"/>
          <w:lang w:val="en-US" w:eastAsia="zh-CN"/>
        </w:rPr>
        <w:fldChar w:fldCharType="separate"/>
      </w:r>
      <w:r>
        <w:rPr>
          <w:rFonts w:hint="eastAsia"/>
          <w:color w:val="auto"/>
          <w:lang w:val="en-US" w:eastAsia="zh-CN"/>
        </w:rPr>
        <w:t>7.2.6</w:t>
      </w:r>
      <w:r>
        <w:rPr>
          <w:rFonts w:hint="eastAsia"/>
          <w:color w:val="auto"/>
          <w:lang w:val="en-US" w:eastAsia="zh-CN"/>
        </w:rPr>
        <w:fldChar w:fldCharType="end"/>
      </w:r>
      <w:r>
        <w:rPr>
          <w:rFonts w:hint="eastAsia"/>
          <w:color w:val="auto"/>
          <w:lang w:val="en-US" w:eastAsia="zh-CN"/>
        </w:rPr>
        <w:t>的数值乘以1.3后采用；</w:t>
      </w:r>
    </w:p>
    <w:p>
      <w:pPr>
        <w:pStyle w:val="38"/>
        <w:bidi w:val="0"/>
        <w:rPr>
          <w:rFonts w:hint="eastAsia"/>
          <w:color w:val="auto"/>
          <w:lang w:val="en-US" w:eastAsia="zh-CN"/>
        </w:rPr>
      </w:pPr>
      <w:r>
        <w:rPr>
          <w:rFonts w:hint="eastAsia"/>
          <w:color w:val="auto"/>
          <w:lang w:val="en-US" w:eastAsia="zh-CN"/>
        </w:rPr>
        <w:t>2 毛石墙、柱的允许高厚比应按表</w:t>
      </w:r>
      <w:r>
        <w:rPr>
          <w:rFonts w:hint="eastAsia"/>
          <w:color w:val="auto"/>
          <w:lang w:val="en-US" w:eastAsia="zh-CN"/>
        </w:rPr>
        <w:fldChar w:fldCharType="begin"/>
      </w:r>
      <w:r>
        <w:rPr>
          <w:rFonts w:hint="eastAsia"/>
          <w:color w:val="auto"/>
          <w:lang w:val="en-US" w:eastAsia="zh-CN"/>
        </w:rPr>
        <w:instrText xml:space="preserve"> REF _Ref9440 \n \h </w:instrText>
      </w:r>
      <w:r>
        <w:rPr>
          <w:rFonts w:hint="eastAsia"/>
          <w:color w:val="auto"/>
          <w:lang w:val="en-US" w:eastAsia="zh-CN"/>
        </w:rPr>
        <w:fldChar w:fldCharType="separate"/>
      </w:r>
      <w:r>
        <w:rPr>
          <w:rFonts w:hint="eastAsia"/>
          <w:color w:val="auto"/>
          <w:lang w:val="en-US" w:eastAsia="zh-CN"/>
        </w:rPr>
        <w:t>7.2.6</w:t>
      </w:r>
      <w:r>
        <w:rPr>
          <w:rFonts w:hint="eastAsia"/>
          <w:color w:val="auto"/>
          <w:lang w:val="en-US" w:eastAsia="zh-CN"/>
        </w:rPr>
        <w:fldChar w:fldCharType="end"/>
      </w:r>
      <w:r>
        <w:rPr>
          <w:rFonts w:hint="eastAsia"/>
          <w:color w:val="auto"/>
          <w:lang w:val="en-US" w:eastAsia="zh-CN"/>
        </w:rPr>
        <w:t>中数值降低20%；</w:t>
      </w:r>
    </w:p>
    <w:p>
      <w:pPr>
        <w:pStyle w:val="38"/>
        <w:bidi w:val="0"/>
        <w:rPr>
          <w:rFonts w:hint="eastAsia"/>
          <w:color w:val="auto"/>
          <w:lang w:val="en-US" w:eastAsia="zh-CN"/>
        </w:rPr>
      </w:pPr>
      <w:r>
        <w:rPr>
          <w:rFonts w:hint="eastAsia"/>
          <w:color w:val="auto"/>
          <w:lang w:val="en-US" w:eastAsia="zh-CN"/>
        </w:rPr>
        <w:t>3 带有混凝土或砂浆面层的组合砖砌体构件的允许高厚比，可按表</w:t>
      </w:r>
      <w:r>
        <w:rPr>
          <w:rFonts w:hint="eastAsia"/>
          <w:color w:val="auto"/>
          <w:lang w:val="en-US" w:eastAsia="zh-CN"/>
        </w:rPr>
        <w:fldChar w:fldCharType="begin"/>
      </w:r>
      <w:r>
        <w:rPr>
          <w:rFonts w:hint="eastAsia"/>
          <w:color w:val="auto"/>
          <w:lang w:val="en-US" w:eastAsia="zh-CN"/>
        </w:rPr>
        <w:instrText xml:space="preserve"> REF _Ref9440 \n \h </w:instrText>
      </w:r>
      <w:r>
        <w:rPr>
          <w:rFonts w:hint="eastAsia"/>
          <w:color w:val="auto"/>
          <w:lang w:val="en-US" w:eastAsia="zh-CN"/>
        </w:rPr>
        <w:fldChar w:fldCharType="separate"/>
      </w:r>
      <w:r>
        <w:rPr>
          <w:rFonts w:hint="eastAsia"/>
          <w:color w:val="auto"/>
          <w:lang w:val="en-US" w:eastAsia="zh-CN"/>
        </w:rPr>
        <w:t>7.2.6</w:t>
      </w:r>
      <w:r>
        <w:rPr>
          <w:rFonts w:hint="eastAsia"/>
          <w:color w:val="auto"/>
          <w:lang w:val="en-US" w:eastAsia="zh-CN"/>
        </w:rPr>
        <w:fldChar w:fldCharType="end"/>
      </w:r>
      <w:r>
        <w:rPr>
          <w:rFonts w:hint="eastAsia"/>
          <w:color w:val="auto"/>
          <w:lang w:val="en-US" w:eastAsia="zh-CN"/>
        </w:rPr>
        <w:t>中数值提高20%采用，但不得大于28；</w:t>
      </w:r>
    </w:p>
    <w:p>
      <w:pPr>
        <w:pStyle w:val="38"/>
        <w:bidi w:val="0"/>
        <w:rPr>
          <w:rFonts w:hint="default"/>
          <w:color w:val="auto"/>
          <w:lang w:val="en-US" w:eastAsia="zh-CN"/>
        </w:rPr>
      </w:pPr>
      <w:r>
        <w:rPr>
          <w:rFonts w:hint="eastAsia"/>
          <w:color w:val="auto"/>
          <w:lang w:val="en-US" w:eastAsia="zh-CN"/>
        </w:rPr>
        <w:t>4表中未涉及的砂浆强度等级，可按照线性内插的方式计算。</w:t>
      </w:r>
    </w:p>
    <w:p>
      <w:pPr>
        <w:pStyle w:val="5"/>
        <w:bidi w:val="0"/>
        <w:ind w:left="0" w:leftChars="0" w:firstLine="0" w:firstLineChars="0"/>
        <w:rPr>
          <w:rFonts w:hint="eastAsia"/>
          <w:color w:val="auto"/>
          <w:lang w:val="en-US" w:eastAsia="zh-CN"/>
        </w:rPr>
      </w:pPr>
      <w:r>
        <w:rPr>
          <w:rFonts w:hint="eastAsia"/>
          <w:color w:val="auto"/>
        </w:rPr>
        <w:t>砌体结构</w:t>
      </w:r>
      <w:r>
        <w:rPr>
          <w:rFonts w:hint="eastAsia"/>
          <w:color w:val="auto"/>
          <w:lang w:val="en-US" w:eastAsia="zh-CN"/>
        </w:rPr>
        <w:t>中易发生局部倒塌的构部件及其连接，应符合下列要求：</w:t>
      </w:r>
    </w:p>
    <w:p>
      <w:pPr>
        <w:pStyle w:val="36"/>
        <w:bidi w:val="0"/>
        <w:rPr>
          <w:rFonts w:hint="eastAsia"/>
          <w:color w:val="auto"/>
          <w:lang w:val="en-US" w:eastAsia="zh-CN"/>
        </w:rPr>
      </w:pPr>
      <w:r>
        <w:rPr>
          <w:rFonts w:hint="eastAsia"/>
          <w:color w:val="auto"/>
          <w:lang w:val="en-US" w:eastAsia="zh-CN"/>
        </w:rPr>
        <w:t>纵横墙交接处应咬槎且质量较好；</w:t>
      </w:r>
    </w:p>
    <w:p>
      <w:pPr>
        <w:pStyle w:val="36"/>
        <w:bidi w:val="0"/>
        <w:rPr>
          <w:rFonts w:hint="eastAsia"/>
          <w:color w:val="auto"/>
          <w:lang w:val="en-US" w:eastAsia="zh-CN"/>
        </w:rPr>
      </w:pPr>
      <w:r>
        <w:rPr>
          <w:rFonts w:hint="eastAsia"/>
          <w:color w:val="auto"/>
          <w:lang w:val="en-US" w:eastAsia="zh-CN"/>
        </w:rPr>
        <w:t xml:space="preserve">女儿墙、出入口或人流通道处上方的装饰构配件、设备基座或连接件等应有可靠锚固； </w:t>
      </w:r>
    </w:p>
    <w:p>
      <w:pPr>
        <w:pStyle w:val="36"/>
        <w:bidi w:val="0"/>
        <w:rPr>
          <w:rFonts w:hint="eastAsia"/>
          <w:color w:val="auto"/>
          <w:lang w:val="en-US" w:eastAsia="zh-CN"/>
        </w:rPr>
      </w:pPr>
      <w:r>
        <w:rPr>
          <w:rFonts w:hint="eastAsia"/>
          <w:color w:val="auto"/>
          <w:lang w:val="en-US" w:eastAsia="zh-CN"/>
        </w:rPr>
        <w:t>钢筋混凝土挑檐、雨罩等悬挑构件应有足够的稳定性；</w:t>
      </w:r>
    </w:p>
    <w:p>
      <w:pPr>
        <w:pStyle w:val="36"/>
        <w:bidi w:val="0"/>
        <w:rPr>
          <w:rFonts w:hint="eastAsia"/>
          <w:color w:val="auto"/>
          <w:lang w:val="en-US" w:eastAsia="zh-CN"/>
        </w:rPr>
      </w:pPr>
      <w:r>
        <w:rPr>
          <w:rFonts w:hint="eastAsia"/>
          <w:color w:val="auto"/>
          <w:lang w:val="en-US" w:eastAsia="zh-CN"/>
        </w:rPr>
        <w:t>出屋面小烟囱等应有防倒塌措施；</w:t>
      </w:r>
    </w:p>
    <w:p>
      <w:pPr>
        <w:pStyle w:val="36"/>
        <w:bidi w:val="0"/>
        <w:rPr>
          <w:rFonts w:hint="default"/>
          <w:color w:val="auto"/>
          <w:lang w:val="en-US" w:eastAsia="zh-CN"/>
        </w:rPr>
      </w:pPr>
      <w:r>
        <w:rPr>
          <w:rFonts w:hint="eastAsia"/>
          <w:color w:val="auto"/>
          <w:lang w:val="en-US" w:eastAsia="zh-CN"/>
        </w:rPr>
        <w:t>门窗洞处不宜为无筋砖过梁，过梁支承长度不应小于240mm；</w:t>
      </w:r>
    </w:p>
    <w:p>
      <w:pPr>
        <w:pStyle w:val="36"/>
        <w:bidi w:val="0"/>
        <w:rPr>
          <w:rFonts w:hint="eastAsia"/>
          <w:color w:val="auto"/>
          <w:lang w:val="en-US" w:eastAsia="zh-CN"/>
        </w:rPr>
      </w:pPr>
      <w:r>
        <w:rPr>
          <w:rFonts w:hint="eastAsia"/>
          <w:color w:val="auto"/>
          <w:lang w:val="en-US" w:eastAsia="zh-CN"/>
        </w:rPr>
        <w:t>跨度不小于6m的大梁，其支承处宜有壁柱或其他加强措施；</w:t>
      </w:r>
    </w:p>
    <w:p>
      <w:pPr>
        <w:pStyle w:val="36"/>
        <w:bidi w:val="0"/>
        <w:rPr>
          <w:rFonts w:hint="default"/>
          <w:color w:val="auto"/>
          <w:lang w:val="en-US" w:eastAsia="zh-CN"/>
        </w:rPr>
      </w:pPr>
      <w:r>
        <w:rPr>
          <w:rFonts w:hint="eastAsia"/>
          <w:color w:val="auto"/>
          <w:lang w:val="en-US" w:eastAsia="zh-CN"/>
        </w:rPr>
        <w:t>预制阳台应与圈梁和楼板的现浇板带有可靠连接。</w:t>
      </w:r>
    </w:p>
    <w:p>
      <w:pPr>
        <w:pStyle w:val="5"/>
        <w:bidi w:val="0"/>
        <w:ind w:left="0" w:leftChars="0" w:firstLine="0" w:firstLineChars="0"/>
        <w:rPr>
          <w:rFonts w:hint="eastAsia"/>
          <w:color w:val="auto"/>
          <w:lang w:eastAsia="zh-CN"/>
        </w:rPr>
      </w:pPr>
      <w:bookmarkStart w:id="56" w:name="_Ref17396"/>
      <w:r>
        <w:rPr>
          <w:rFonts w:hint="eastAsia"/>
          <w:color w:val="auto"/>
          <w:lang w:val="en-US" w:eastAsia="zh-CN"/>
        </w:rPr>
        <w:t>砌体结构顶点位移不超过结构顶点高度的1/250。</w:t>
      </w:r>
    </w:p>
    <w:bookmarkEnd w:id="56"/>
    <w:p>
      <w:pPr>
        <w:pStyle w:val="29"/>
        <w:bidi w:val="0"/>
        <w:rPr>
          <w:rFonts w:hint="default"/>
          <w:color w:val="auto"/>
          <w:lang w:val="en-US" w:eastAsia="zh-CN"/>
        </w:rPr>
      </w:pPr>
      <w:r>
        <w:rPr>
          <w:rFonts w:hint="eastAsia"/>
          <w:color w:val="auto"/>
          <w:lang w:val="en-US" w:eastAsia="zh-CN"/>
        </w:rPr>
        <w:t>结构构件系统鉴定</w:t>
      </w:r>
    </w:p>
    <w:p>
      <w:pPr>
        <w:pStyle w:val="5"/>
        <w:bidi w:val="0"/>
        <w:ind w:left="0" w:leftChars="0" w:firstLine="0" w:firstLineChars="0"/>
        <w:rPr>
          <w:rFonts w:hint="eastAsia"/>
          <w:color w:val="auto"/>
          <w:lang w:val="en-US" w:eastAsia="zh-CN"/>
        </w:rPr>
      </w:pPr>
      <w:bookmarkStart w:id="57" w:name="_Ref27478"/>
      <w:r>
        <w:rPr>
          <w:rFonts w:hint="eastAsia"/>
          <w:color w:val="auto"/>
          <w:lang w:val="en-US" w:eastAsia="zh-CN"/>
        </w:rPr>
        <w:t>砌体结构构件安全性鉴定，应根据构件位移变形、裂缝损伤两个检查项目，必要时结合验算项目，按照本导则第6.6节和本节相关规定进行综合评级。</w:t>
      </w:r>
    </w:p>
    <w:p>
      <w:pPr>
        <w:pStyle w:val="26"/>
        <w:bidi w:val="0"/>
        <w:rPr>
          <w:rFonts w:hint="default" w:ascii="Times New Roman" w:hAnsi="Times New Roman"/>
          <w:color w:val="auto"/>
          <w:lang w:val="en-US" w:eastAsia="zh-CN"/>
        </w:rPr>
      </w:pPr>
      <w:r>
        <w:rPr>
          <w:rFonts w:hint="eastAsia" w:ascii="Times New Roman" w:hAnsi="Times New Roman"/>
          <w:color w:val="auto"/>
          <w:lang w:val="en-US" w:eastAsia="zh-CN"/>
        </w:rPr>
        <w:t>【条文说明】本</w:t>
      </w:r>
      <w:r>
        <w:rPr>
          <w:rFonts w:hint="eastAsia"/>
          <w:color w:val="auto"/>
          <w:lang w:val="en-US" w:eastAsia="zh-CN"/>
        </w:rPr>
        <w:t>导则</w:t>
      </w:r>
      <w:r>
        <w:rPr>
          <w:rFonts w:hint="eastAsia" w:ascii="Times New Roman" w:hAnsi="Times New Roman"/>
          <w:color w:val="auto"/>
          <w:lang w:val="en-US" w:eastAsia="zh-CN"/>
        </w:rPr>
        <w:t>中构件鉴定评级主要以“位移变形”、“裂缝损伤”两个检查项目为主，这两个检查项目都以肉眼观察、简单工具测量为检查方法，不采用需破损现场的检测方法，简单易行。</w:t>
      </w:r>
    </w:p>
    <w:p>
      <w:pPr>
        <w:pStyle w:val="5"/>
        <w:bidi w:val="0"/>
        <w:ind w:left="0" w:leftChars="0" w:firstLine="0" w:firstLineChars="0"/>
        <w:rPr>
          <w:rFonts w:hint="eastAsia"/>
          <w:color w:val="auto"/>
          <w:lang w:val="en-US" w:eastAsia="zh-CN"/>
        </w:rPr>
      </w:pPr>
      <w:r>
        <w:rPr>
          <w:rFonts w:hint="eastAsia"/>
          <w:color w:val="auto"/>
          <w:lang w:val="en-US" w:eastAsia="zh-CN"/>
        </w:rPr>
        <w:t>砌体结构构件的位移变形、裂缝损伤，应重点检查以下构件或部位：</w:t>
      </w:r>
    </w:p>
    <w:p>
      <w:pPr>
        <w:pStyle w:val="36"/>
        <w:bidi w:val="0"/>
        <w:rPr>
          <w:rFonts w:hint="eastAsia"/>
          <w:color w:val="auto"/>
          <w:lang w:val="en-US" w:eastAsia="zh-CN"/>
        </w:rPr>
      </w:pPr>
      <w:r>
        <w:rPr>
          <w:rFonts w:hint="eastAsia"/>
          <w:color w:val="auto"/>
          <w:lang w:val="en-US" w:eastAsia="zh-CN"/>
        </w:rPr>
        <w:t>承重墙体、独立砖；</w:t>
      </w:r>
    </w:p>
    <w:p>
      <w:pPr>
        <w:pStyle w:val="36"/>
        <w:bidi w:val="0"/>
        <w:rPr>
          <w:rFonts w:hint="eastAsia"/>
          <w:color w:val="auto"/>
          <w:lang w:val="en-US" w:eastAsia="zh-CN"/>
        </w:rPr>
      </w:pPr>
      <w:r>
        <w:rPr>
          <w:rFonts w:hint="eastAsia"/>
          <w:color w:val="auto"/>
          <w:lang w:val="en-US" w:eastAsia="zh-CN"/>
        </w:rPr>
        <w:t>纵横墙交接处；</w:t>
      </w:r>
    </w:p>
    <w:p>
      <w:pPr>
        <w:pStyle w:val="36"/>
        <w:bidi w:val="0"/>
        <w:rPr>
          <w:rFonts w:hint="eastAsia"/>
          <w:color w:val="auto"/>
          <w:lang w:val="en-US" w:eastAsia="zh-CN"/>
        </w:rPr>
      </w:pPr>
      <w:r>
        <w:rPr>
          <w:rFonts w:hint="eastAsia"/>
          <w:color w:val="auto"/>
          <w:lang w:val="en-US" w:eastAsia="zh-CN"/>
        </w:rPr>
        <w:t>不同类型构件的构造连接部位；</w:t>
      </w:r>
    </w:p>
    <w:p>
      <w:pPr>
        <w:pStyle w:val="36"/>
        <w:bidi w:val="0"/>
        <w:rPr>
          <w:rFonts w:hint="default"/>
          <w:color w:val="auto"/>
          <w:lang w:val="en-US" w:eastAsia="zh-CN"/>
        </w:rPr>
      </w:pPr>
      <w:r>
        <w:rPr>
          <w:rFonts w:hint="eastAsia"/>
          <w:color w:val="auto"/>
          <w:lang w:val="en-US" w:eastAsia="zh-CN"/>
        </w:rPr>
        <w:t>悬挑构件根部；</w:t>
      </w:r>
    </w:p>
    <w:p>
      <w:pPr>
        <w:pStyle w:val="36"/>
        <w:bidi w:val="0"/>
        <w:rPr>
          <w:rFonts w:hint="default"/>
          <w:color w:val="auto"/>
          <w:lang w:val="en-US" w:eastAsia="zh-CN"/>
        </w:rPr>
      </w:pPr>
      <w:r>
        <w:rPr>
          <w:rFonts w:hint="eastAsia"/>
          <w:color w:val="auto"/>
          <w:lang w:val="en-US" w:eastAsia="zh-CN"/>
        </w:rPr>
        <w:t>薄弱墙体；</w:t>
      </w:r>
    </w:p>
    <w:p>
      <w:pPr>
        <w:pStyle w:val="36"/>
        <w:bidi w:val="0"/>
        <w:rPr>
          <w:rFonts w:hint="default"/>
          <w:color w:val="auto"/>
          <w:lang w:val="en-US" w:eastAsia="zh-CN"/>
        </w:rPr>
      </w:pPr>
      <w:r>
        <w:rPr>
          <w:rFonts w:hint="eastAsia"/>
          <w:color w:val="auto"/>
          <w:lang w:val="en-US" w:eastAsia="zh-CN"/>
        </w:rPr>
        <w:t>易发生局部倒塌、坠落的构部件及其连接。</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【条文说明】薄弱墙体一般包括：1）楼梯间的墙体，悬挑楼层、通长阳台或房屋尽端局部悬挑阳台、过街楼的支承墙体，与独立承重砖柱相邻的承重墙体；</w:t>
      </w:r>
      <w:r>
        <w:rPr>
          <w:rFonts w:hint="eastAsia"/>
          <w:color w:val="auto"/>
          <w:lang w:val="en-US" w:eastAsia="zh-CN"/>
        </w:rPr>
        <w:t>2</w:t>
      </w:r>
      <w:r>
        <w:rPr>
          <w:rFonts w:hint="eastAsia" w:ascii="Times New Roman" w:hAnsi="Times New Roman"/>
          <w:color w:val="auto"/>
          <w:lang w:val="en-US" w:eastAsia="zh-CN"/>
        </w:rPr>
        <w:t>）空心墙、空斗墙；</w:t>
      </w:r>
      <w:r>
        <w:rPr>
          <w:rFonts w:hint="eastAsia"/>
          <w:color w:val="auto"/>
          <w:lang w:val="en-US" w:eastAsia="zh-CN"/>
        </w:rPr>
        <w:t>3</w:t>
      </w:r>
      <w:r>
        <w:rPr>
          <w:rFonts w:hint="eastAsia" w:ascii="Times New Roman" w:hAnsi="Times New Roman"/>
          <w:color w:val="auto"/>
          <w:lang w:val="en-US" w:eastAsia="zh-CN"/>
        </w:rPr>
        <w:t>）截面削弱的墙体；</w:t>
      </w:r>
      <w:r>
        <w:rPr>
          <w:rFonts w:hint="eastAsia"/>
          <w:color w:val="auto"/>
          <w:lang w:val="en-US" w:eastAsia="zh-CN"/>
        </w:rPr>
        <w:t>4</w:t>
      </w:r>
      <w:r>
        <w:rPr>
          <w:rFonts w:hint="eastAsia" w:ascii="Times New Roman" w:hAnsi="Times New Roman"/>
          <w:color w:val="auto"/>
          <w:lang w:val="en-US" w:eastAsia="zh-CN"/>
        </w:rPr>
        <w:t>）出屋面的楼梯间、电梯间和水箱间等小房间墙体。</w:t>
      </w:r>
    </w:p>
    <w:p>
      <w:pPr>
        <w:pStyle w:val="26"/>
        <w:bidi w:val="0"/>
        <w:rPr>
          <w:rFonts w:hint="default" w:ascii="Times New Roman" w:hAnsi="Times New Roman"/>
          <w:color w:val="auto"/>
          <w:lang w:val="en-US" w:eastAsia="zh-CN"/>
        </w:rPr>
      </w:pPr>
      <w:r>
        <w:rPr>
          <w:rFonts w:hint="eastAsia"/>
          <w:color w:val="auto"/>
          <w:lang w:val="en-US" w:eastAsia="zh-CN"/>
        </w:rPr>
        <w:t>2013年以后设计建造的砌体结构几乎不会采用砖拱结构，当对砖拱结构进行鉴定时，还应重点检查拱脚部位的损伤情况。</w:t>
      </w:r>
    </w:p>
    <w:bookmarkEnd w:id="57"/>
    <w:p>
      <w:pPr>
        <w:pStyle w:val="5"/>
        <w:bidi w:val="0"/>
        <w:ind w:left="0" w:leftChars="0" w:firstLine="0" w:firstLineChars="0"/>
        <w:rPr>
          <w:rFonts w:hint="eastAsia"/>
          <w:color w:val="auto"/>
          <w:lang w:val="en-US" w:eastAsia="zh-CN"/>
        </w:rPr>
      </w:pPr>
      <w:bookmarkStart w:id="58" w:name="_Ref27772"/>
      <w:bookmarkStart w:id="59" w:name="_Ref11680"/>
      <w:bookmarkStart w:id="60" w:name="_Ref28871"/>
      <w:r>
        <w:rPr>
          <w:rFonts w:hint="eastAsia"/>
          <w:color w:val="auto"/>
          <w:lang w:val="en-US" w:eastAsia="zh-CN"/>
        </w:rPr>
        <w:t>当砌体结构构件安全性按位移变形评级，符合下列规定：</w:t>
      </w:r>
      <w:bookmarkEnd w:id="58"/>
      <w:bookmarkEnd w:id="59"/>
      <w:bookmarkEnd w:id="60"/>
    </w:p>
    <w:p>
      <w:pPr>
        <w:pStyle w:val="36"/>
        <w:bidi w:val="0"/>
        <w:rPr>
          <w:rFonts w:hint="default"/>
          <w:color w:val="auto"/>
          <w:lang w:val="en-US" w:eastAsia="zh-CN"/>
        </w:rPr>
      </w:pPr>
      <w:r>
        <w:rPr>
          <w:rFonts w:hint="eastAsia"/>
          <w:color w:val="auto"/>
          <w:lang w:val="en-US" w:eastAsia="zh-CN"/>
        </w:rPr>
        <w:t>除特别规定外，一般应符合表</w:t>
      </w:r>
      <w:r>
        <w:rPr>
          <w:rFonts w:hint="eastAsia"/>
          <w:color w:val="auto"/>
          <w:lang w:val="en-US" w:eastAsia="zh-CN"/>
        </w:rPr>
        <w:fldChar w:fldCharType="begin"/>
      </w:r>
      <w:r>
        <w:rPr>
          <w:rFonts w:hint="eastAsia"/>
          <w:color w:val="auto"/>
          <w:lang w:val="en-US" w:eastAsia="zh-CN"/>
        </w:rPr>
        <w:instrText xml:space="preserve"> REF _Ref11680 \n \h </w:instrText>
      </w:r>
      <w:r>
        <w:rPr>
          <w:rFonts w:hint="eastAsia"/>
          <w:color w:val="auto"/>
          <w:lang w:val="en-US" w:eastAsia="zh-CN"/>
        </w:rPr>
        <w:fldChar w:fldCharType="separate"/>
      </w:r>
      <w:r>
        <w:rPr>
          <w:rFonts w:hint="eastAsia"/>
          <w:color w:val="auto"/>
          <w:lang w:val="en-US" w:eastAsia="zh-CN"/>
        </w:rPr>
        <w:t>7.2.11</w:t>
      </w:r>
      <w:r>
        <w:rPr>
          <w:rFonts w:hint="eastAsia"/>
          <w:color w:val="auto"/>
          <w:lang w:val="en-US" w:eastAsia="zh-CN"/>
        </w:rPr>
        <w:fldChar w:fldCharType="end"/>
      </w:r>
      <w:r>
        <w:rPr>
          <w:rFonts w:hint="eastAsia"/>
          <w:color w:val="auto"/>
          <w:lang w:val="en-US" w:eastAsia="zh-CN"/>
        </w:rPr>
        <w:t>的规定；</w:t>
      </w:r>
    </w:p>
    <w:p>
      <w:pPr>
        <w:pStyle w:val="36"/>
        <w:bidi w:val="0"/>
        <w:rPr>
          <w:rFonts w:hint="default"/>
          <w:color w:val="auto"/>
          <w:lang w:val="en-US" w:eastAsia="zh-CN"/>
        </w:rPr>
      </w:pPr>
      <w:r>
        <w:rPr>
          <w:rFonts w:hint="eastAsia"/>
          <w:color w:val="auto"/>
          <w:lang w:val="en-US" w:eastAsia="zh-CN"/>
        </w:rPr>
        <w:t>砌体构件变形尚在发展时，应评为c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36"/>
        <w:bidi w:val="0"/>
        <w:rPr>
          <w:rFonts w:hint="eastAsia"/>
          <w:color w:val="auto"/>
          <w:lang w:val="en-US" w:eastAsia="zh-CN"/>
        </w:rPr>
      </w:pPr>
      <w:r>
        <w:rPr>
          <w:rFonts w:hint="eastAsia"/>
          <w:color w:val="auto"/>
          <w:lang w:val="en-US" w:eastAsia="zh-CN"/>
        </w:rPr>
        <w:t>除带壁柱墙外的其他柱的弯曲，当其矢高实测值大于柱的自由长度的1/300时，应评为c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25"/>
        <w:bidi w:val="0"/>
        <w:rPr>
          <w:rFonts w:hint="default"/>
          <w:color w:val="auto"/>
          <w:lang w:val="en-US" w:eastAsia="zh-CN"/>
        </w:rPr>
      </w:pPr>
      <w:r>
        <w:rPr>
          <w:rFonts w:hint="eastAsia"/>
          <w:color w:val="auto"/>
        </w:rPr>
        <w:t>表</w:t>
      </w:r>
      <w:r>
        <w:rPr>
          <w:rFonts w:hint="eastAsia"/>
          <w:color w:val="auto"/>
          <w:lang w:val="en-US" w:eastAsia="zh-CN"/>
        </w:rPr>
        <w:fldChar w:fldCharType="begin"/>
      </w:r>
      <w:r>
        <w:rPr>
          <w:rFonts w:hint="eastAsia"/>
          <w:color w:val="auto"/>
          <w:lang w:val="en-US" w:eastAsia="zh-CN"/>
        </w:rPr>
        <w:instrText xml:space="preserve"> REF _Ref11680 \n \h </w:instrText>
      </w:r>
      <w:r>
        <w:rPr>
          <w:rFonts w:hint="eastAsia"/>
          <w:color w:val="auto"/>
          <w:lang w:val="en-US" w:eastAsia="zh-CN"/>
        </w:rPr>
        <w:fldChar w:fldCharType="separate"/>
      </w:r>
      <w:r>
        <w:rPr>
          <w:rFonts w:hint="eastAsia"/>
          <w:color w:val="auto"/>
          <w:lang w:val="en-US" w:eastAsia="zh-CN"/>
        </w:rPr>
        <w:t>7.2.11</w:t>
      </w:r>
      <w:r>
        <w:rPr>
          <w:rFonts w:hint="eastAsia"/>
          <w:color w:val="auto"/>
          <w:lang w:val="en-US" w:eastAsia="zh-CN"/>
        </w:rPr>
        <w:fldChar w:fldCharType="end"/>
      </w:r>
      <w:r>
        <w:rPr>
          <w:rFonts w:hint="eastAsia"/>
          <w:color w:val="auto"/>
        </w:rPr>
        <w:t xml:space="preserve"> </w:t>
      </w:r>
      <w:r>
        <w:rPr>
          <w:rFonts w:hint="eastAsia"/>
          <w:color w:val="auto"/>
          <w:lang w:val="en-US" w:eastAsia="zh-CN"/>
        </w:rPr>
        <w:t>砌体结构构件按侧向位移评级</w:t>
      </w:r>
    </w:p>
    <w:tbl>
      <w:tblPr>
        <w:tblStyle w:val="2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28"/>
        <w:gridCol w:w="1234"/>
        <w:gridCol w:w="1906"/>
        <w:gridCol w:w="37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2747" w:type="pct"/>
            <w:gridSpan w:val="3"/>
            <w:tcBorders>
              <w:left w:val="single" w:color="auto" w:sz="4" w:space="0"/>
            </w:tcBorders>
            <w:noWrap w:val="0"/>
            <w:vAlign w:val="center"/>
          </w:tcPr>
          <w:p>
            <w:pPr>
              <w:pStyle w:val="24"/>
              <w:bidi w:val="0"/>
              <w:rPr>
                <w:color w:val="auto"/>
              </w:rPr>
            </w:pPr>
            <w:r>
              <w:rPr>
                <w:rFonts w:hint="eastAsia"/>
                <w:color w:val="auto"/>
                <w:lang w:val="en-US" w:eastAsia="zh-CN"/>
              </w:rPr>
              <w:t>构件类型</w:t>
            </w:r>
          </w:p>
        </w:tc>
        <w:tc>
          <w:tcPr>
            <w:tcW w:w="2252" w:type="pct"/>
            <w:tcBorders>
              <w:left w:val="single" w:color="auto" w:sz="4" w:space="0"/>
            </w:tcBorders>
            <w:noWrap w:val="0"/>
            <w:vAlign w:val="center"/>
          </w:tcPr>
          <w:p>
            <w:pPr>
              <w:pStyle w:val="24"/>
              <w:bidi w:val="0"/>
              <w:rPr>
                <w:rFonts w:hint="default"/>
                <w:color w:val="auto"/>
                <w:lang w:val="en-US"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val="en-US" w:eastAsia="zh-CN"/>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9" w:type="pct"/>
            <w:vMerge w:val="restart"/>
            <w:noWrap w:val="0"/>
            <w:vAlign w:val="center"/>
          </w:tcPr>
          <w:p>
            <w:pPr>
              <w:pStyle w:val="24"/>
              <w:bidi w:val="0"/>
              <w:rPr>
                <w:rFonts w:hint="default"/>
                <w:color w:val="auto"/>
                <w:lang w:val="en-US" w:eastAsia="zh-CN"/>
              </w:rPr>
            </w:pPr>
            <w:r>
              <w:rPr>
                <w:rFonts w:hint="eastAsia"/>
                <w:color w:val="auto"/>
                <w:lang w:val="en-US" w:eastAsia="zh-CN"/>
              </w:rPr>
              <w:t>单层建筑</w:t>
            </w:r>
          </w:p>
        </w:tc>
        <w:tc>
          <w:tcPr>
            <w:tcW w:w="742" w:type="pct"/>
            <w:vMerge w:val="restart"/>
            <w:noWrap w:val="0"/>
            <w:vAlign w:val="center"/>
          </w:tcPr>
          <w:p>
            <w:pPr>
              <w:pStyle w:val="24"/>
              <w:bidi w:val="0"/>
              <w:rPr>
                <w:rFonts w:hint="default"/>
                <w:color w:val="auto"/>
                <w:lang w:val="en-US" w:eastAsia="zh-CN"/>
              </w:rPr>
            </w:pPr>
            <w:r>
              <w:rPr>
                <w:rFonts w:hint="eastAsia"/>
                <w:color w:val="auto"/>
                <w:lang w:val="en-US" w:eastAsia="zh-CN"/>
              </w:rPr>
              <w:t>墙</w:t>
            </w:r>
          </w:p>
        </w:tc>
        <w:tc>
          <w:tcPr>
            <w:tcW w:w="1145" w:type="pct"/>
            <w:shd w:val="clear" w:color="auto" w:fill="auto"/>
            <w:noWrap w:val="0"/>
            <w:vAlign w:val="center"/>
          </w:tcPr>
          <w:p>
            <w:pPr>
              <w:pStyle w:val="24"/>
              <w:bidi w:val="0"/>
              <w:rPr>
                <w:color w:val="auto"/>
                <w:lang w:val="en-US" w:eastAsia="zh-CN"/>
              </w:rPr>
            </w:pPr>
            <w:r>
              <w:rPr>
                <w:color w:val="auto"/>
              </w:rPr>
              <w:t>H≤7m</w:t>
            </w:r>
          </w:p>
        </w:tc>
        <w:tc>
          <w:tcPr>
            <w:tcW w:w="2252" w:type="pct"/>
            <w:shd w:val="clear" w:color="auto" w:fill="auto"/>
            <w:noWrap w:val="0"/>
            <w:vAlign w:val="center"/>
          </w:tcPr>
          <w:p>
            <w:pPr>
              <w:pStyle w:val="24"/>
              <w:bidi w:val="0"/>
              <w:rPr>
                <w:rFonts w:hint="eastAsia"/>
                <w:color w:val="auto"/>
                <w:lang w:val="en-US" w:eastAsia="zh-CN"/>
              </w:rPr>
            </w:pPr>
            <w:r>
              <w:rPr>
                <w:rFonts w:hint="eastAsia"/>
                <w:color w:val="auto"/>
                <w:lang w:val="en-US" w:eastAsia="zh-CN"/>
              </w:rPr>
              <w:t xml:space="preserve">&gt; </w:t>
            </w:r>
            <w:r>
              <w:rPr>
                <w:color w:val="auto"/>
              </w:rPr>
              <w:t>H/250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9" w:type="pct"/>
            <w:vMerge w:val="continue"/>
            <w:vAlign w:val="center"/>
          </w:tcPr>
          <w:p>
            <w:pPr>
              <w:pStyle w:val="24"/>
              <w:bidi w:val="0"/>
              <w:rPr>
                <w:color w:val="auto"/>
              </w:rPr>
            </w:pPr>
          </w:p>
        </w:tc>
        <w:tc>
          <w:tcPr>
            <w:tcW w:w="742" w:type="pct"/>
            <w:vMerge w:val="continue"/>
            <w:vAlign w:val="center"/>
          </w:tcPr>
          <w:p>
            <w:pPr>
              <w:pStyle w:val="24"/>
              <w:bidi w:val="0"/>
              <w:rPr>
                <w:color w:val="auto"/>
              </w:rPr>
            </w:pPr>
          </w:p>
        </w:tc>
        <w:tc>
          <w:tcPr>
            <w:tcW w:w="1145" w:type="pct"/>
            <w:shd w:val="clear" w:color="auto" w:fill="auto"/>
            <w:vAlign w:val="center"/>
          </w:tcPr>
          <w:p>
            <w:pPr>
              <w:pStyle w:val="24"/>
              <w:bidi w:val="0"/>
              <w:rPr>
                <w:color w:val="auto"/>
                <w:lang w:val="en-US" w:eastAsia="zh-CN"/>
              </w:rPr>
            </w:pPr>
            <w:r>
              <w:rPr>
                <w:color w:val="auto"/>
              </w:rPr>
              <w:t>H&gt;7m</w:t>
            </w:r>
          </w:p>
        </w:tc>
        <w:tc>
          <w:tcPr>
            <w:tcW w:w="2252" w:type="pct"/>
            <w:shd w:val="clear" w:color="auto" w:fill="auto"/>
            <w:vAlign w:val="center"/>
          </w:tcPr>
          <w:p>
            <w:pPr>
              <w:pStyle w:val="24"/>
              <w:bidi w:val="0"/>
              <w:rPr>
                <w:color w:val="auto"/>
                <w:lang w:val="en-US" w:eastAsia="zh-CN"/>
              </w:rPr>
            </w:pPr>
            <w:r>
              <w:rPr>
                <w:rFonts w:hint="eastAsia"/>
                <w:color w:val="auto"/>
                <w:lang w:val="en-US" w:eastAsia="zh-CN"/>
              </w:rPr>
              <w:t xml:space="preserve">&gt; </w:t>
            </w:r>
            <w:r>
              <w:rPr>
                <w:color w:val="auto"/>
              </w:rPr>
              <w:t>H/300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9" w:type="pct"/>
            <w:vMerge w:val="continue"/>
            <w:vAlign w:val="center"/>
          </w:tcPr>
          <w:p>
            <w:pPr>
              <w:pStyle w:val="24"/>
              <w:bidi w:val="0"/>
              <w:rPr>
                <w:color w:val="auto"/>
              </w:rPr>
            </w:pPr>
          </w:p>
        </w:tc>
        <w:tc>
          <w:tcPr>
            <w:tcW w:w="742" w:type="pct"/>
            <w:vMerge w:val="restart"/>
            <w:vAlign w:val="center"/>
          </w:tcPr>
          <w:p>
            <w:pPr>
              <w:pStyle w:val="24"/>
              <w:bidi w:val="0"/>
              <w:rPr>
                <w:rFonts w:hint="eastAsia"/>
                <w:color w:val="auto"/>
                <w:lang w:val="en-US" w:eastAsia="zh-CN"/>
              </w:rPr>
            </w:pPr>
            <w:r>
              <w:rPr>
                <w:rFonts w:hint="eastAsia"/>
                <w:color w:val="auto"/>
                <w:lang w:val="en-US" w:eastAsia="zh-CN"/>
              </w:rPr>
              <w:t>柱</w:t>
            </w:r>
          </w:p>
        </w:tc>
        <w:tc>
          <w:tcPr>
            <w:tcW w:w="1145" w:type="pct"/>
            <w:shd w:val="clear" w:color="auto" w:fill="auto"/>
            <w:vAlign w:val="center"/>
          </w:tcPr>
          <w:p>
            <w:pPr>
              <w:pStyle w:val="24"/>
              <w:bidi w:val="0"/>
              <w:rPr>
                <w:color w:val="auto"/>
                <w:lang w:val="en-US" w:eastAsia="zh-CN"/>
              </w:rPr>
            </w:pPr>
            <w:r>
              <w:rPr>
                <w:color w:val="auto"/>
              </w:rPr>
              <w:t>H≤7m</w:t>
            </w:r>
          </w:p>
        </w:tc>
        <w:tc>
          <w:tcPr>
            <w:tcW w:w="2252" w:type="pct"/>
            <w:shd w:val="clear" w:color="auto" w:fill="auto"/>
            <w:vAlign w:val="center"/>
          </w:tcPr>
          <w:p>
            <w:pPr>
              <w:pStyle w:val="24"/>
              <w:bidi w:val="0"/>
              <w:rPr>
                <w:color w:val="auto"/>
                <w:lang w:val="en-US" w:eastAsia="zh-CN"/>
              </w:rPr>
            </w:pPr>
            <w:r>
              <w:rPr>
                <w:rFonts w:hint="eastAsia"/>
                <w:color w:val="auto"/>
                <w:lang w:val="en-US" w:eastAsia="zh-CN"/>
              </w:rPr>
              <w:t xml:space="preserve">&gt; </w:t>
            </w:r>
            <w:r>
              <w:rPr>
                <w:color w:val="auto"/>
              </w:rPr>
              <w:t>H/300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9" w:type="pct"/>
            <w:vMerge w:val="continue"/>
            <w:vAlign w:val="center"/>
          </w:tcPr>
          <w:p>
            <w:pPr>
              <w:pStyle w:val="24"/>
              <w:bidi w:val="0"/>
              <w:rPr>
                <w:color w:val="auto"/>
              </w:rPr>
            </w:pPr>
          </w:p>
        </w:tc>
        <w:tc>
          <w:tcPr>
            <w:tcW w:w="742" w:type="pct"/>
            <w:vMerge w:val="continue"/>
            <w:vAlign w:val="center"/>
          </w:tcPr>
          <w:p>
            <w:pPr>
              <w:pStyle w:val="24"/>
              <w:bidi w:val="0"/>
              <w:rPr>
                <w:color w:val="auto"/>
              </w:rPr>
            </w:pPr>
          </w:p>
        </w:tc>
        <w:tc>
          <w:tcPr>
            <w:tcW w:w="1145" w:type="pct"/>
            <w:shd w:val="clear" w:color="auto" w:fill="auto"/>
            <w:vAlign w:val="center"/>
          </w:tcPr>
          <w:p>
            <w:pPr>
              <w:pStyle w:val="24"/>
              <w:bidi w:val="0"/>
              <w:rPr>
                <w:color w:val="auto"/>
                <w:lang w:val="en-US" w:eastAsia="zh-CN"/>
              </w:rPr>
            </w:pPr>
            <w:r>
              <w:rPr>
                <w:color w:val="auto"/>
              </w:rPr>
              <w:t>H&gt;7m</w:t>
            </w:r>
          </w:p>
        </w:tc>
        <w:tc>
          <w:tcPr>
            <w:tcW w:w="2252" w:type="pct"/>
            <w:shd w:val="clear" w:color="auto" w:fill="auto"/>
            <w:vAlign w:val="center"/>
          </w:tcPr>
          <w:p>
            <w:pPr>
              <w:pStyle w:val="24"/>
              <w:bidi w:val="0"/>
              <w:rPr>
                <w:color w:val="auto"/>
                <w:lang w:val="en-US" w:eastAsia="zh-CN"/>
              </w:rPr>
            </w:pPr>
            <w:r>
              <w:rPr>
                <w:rFonts w:hint="eastAsia"/>
                <w:color w:val="auto"/>
                <w:lang w:val="en-US" w:eastAsia="zh-CN"/>
              </w:rPr>
              <w:t xml:space="preserve">&gt; </w:t>
            </w:r>
            <w:r>
              <w:rPr>
                <w:color w:val="auto"/>
              </w:rPr>
              <w:t>H/330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9" w:type="pct"/>
            <w:vMerge w:val="restart"/>
            <w:vAlign w:val="center"/>
          </w:tcPr>
          <w:p>
            <w:pPr>
              <w:pStyle w:val="24"/>
              <w:bidi w:val="0"/>
              <w:rPr>
                <w:rFonts w:hint="default"/>
                <w:color w:val="auto"/>
                <w:lang w:val="en-US" w:eastAsia="zh-CN"/>
              </w:rPr>
            </w:pPr>
            <w:r>
              <w:rPr>
                <w:rFonts w:hint="eastAsia"/>
                <w:color w:val="auto"/>
                <w:lang w:val="en-US" w:eastAsia="zh-CN"/>
              </w:rPr>
              <w:t>多层建筑</w:t>
            </w:r>
          </w:p>
        </w:tc>
        <w:tc>
          <w:tcPr>
            <w:tcW w:w="1888" w:type="pct"/>
            <w:gridSpan w:val="2"/>
            <w:vAlign w:val="center"/>
          </w:tcPr>
          <w:p>
            <w:pPr>
              <w:pStyle w:val="24"/>
              <w:bidi w:val="0"/>
              <w:rPr>
                <w:rFonts w:hint="default"/>
                <w:color w:val="auto"/>
                <w:lang w:val="en-US" w:eastAsia="zh-CN"/>
              </w:rPr>
            </w:pPr>
            <w:r>
              <w:rPr>
                <w:rFonts w:hint="eastAsia"/>
                <w:color w:val="auto"/>
                <w:lang w:val="en-US" w:eastAsia="zh-CN"/>
              </w:rPr>
              <w:t>墙</w:t>
            </w:r>
          </w:p>
        </w:tc>
        <w:tc>
          <w:tcPr>
            <w:tcW w:w="2252" w:type="pct"/>
            <w:shd w:val="clear" w:color="auto" w:fill="auto"/>
            <w:vAlign w:val="center"/>
          </w:tcPr>
          <w:p>
            <w:pPr>
              <w:pStyle w:val="24"/>
              <w:bidi w:val="0"/>
              <w:rPr>
                <w:color w:val="auto"/>
                <w:lang w:val="en-US" w:eastAsia="zh-CN"/>
              </w:rPr>
            </w:pPr>
            <w:r>
              <w:rPr>
                <w:rFonts w:hint="eastAsia"/>
                <w:color w:val="auto"/>
                <w:lang w:val="en-US" w:eastAsia="zh-CN"/>
              </w:rPr>
              <w:t xml:space="preserve">&gt; </w:t>
            </w:r>
            <w:r>
              <w:rPr>
                <w:color w:val="auto"/>
              </w:rPr>
              <w:t>H</w:t>
            </w:r>
            <w:r>
              <w:rPr>
                <w:rFonts w:hint="eastAsia"/>
                <w:color w:val="auto"/>
                <w:vertAlign w:val="subscript"/>
                <w:lang w:val="en-US" w:eastAsia="zh-CN"/>
              </w:rPr>
              <w:t>i</w:t>
            </w:r>
            <w:r>
              <w:rPr>
                <w:color w:val="auto"/>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59" w:type="pct"/>
            <w:vMerge w:val="continue"/>
          </w:tcPr>
          <w:p>
            <w:pPr>
              <w:pStyle w:val="24"/>
              <w:bidi w:val="0"/>
              <w:rPr>
                <w:color w:val="auto"/>
              </w:rPr>
            </w:pPr>
          </w:p>
        </w:tc>
        <w:tc>
          <w:tcPr>
            <w:tcW w:w="1888" w:type="pct"/>
            <w:gridSpan w:val="2"/>
            <w:vAlign w:val="center"/>
          </w:tcPr>
          <w:p>
            <w:pPr>
              <w:pStyle w:val="24"/>
              <w:bidi w:val="0"/>
              <w:rPr>
                <w:color w:val="auto"/>
                <w:lang w:val="en-US" w:eastAsia="zh-CN"/>
              </w:rPr>
            </w:pPr>
            <w:r>
              <w:rPr>
                <w:rFonts w:hint="eastAsia"/>
                <w:color w:val="auto"/>
                <w:lang w:val="en-US" w:eastAsia="zh-CN"/>
              </w:rPr>
              <w:t>柱</w:t>
            </w:r>
          </w:p>
        </w:tc>
        <w:tc>
          <w:tcPr>
            <w:tcW w:w="2252" w:type="pct"/>
            <w:shd w:val="clear" w:color="auto" w:fill="auto"/>
            <w:vAlign w:val="center"/>
          </w:tcPr>
          <w:p>
            <w:pPr>
              <w:pStyle w:val="24"/>
              <w:bidi w:val="0"/>
              <w:rPr>
                <w:color w:val="auto"/>
                <w:lang w:val="en-US" w:eastAsia="zh-CN"/>
              </w:rPr>
            </w:pPr>
            <w:r>
              <w:rPr>
                <w:rFonts w:hint="eastAsia"/>
                <w:color w:val="auto"/>
                <w:lang w:val="en-US" w:eastAsia="zh-CN"/>
              </w:rPr>
              <w:t xml:space="preserve">&gt; </w:t>
            </w:r>
            <w:r>
              <w:rPr>
                <w:color w:val="auto"/>
              </w:rPr>
              <w:t>H</w:t>
            </w:r>
            <w:r>
              <w:rPr>
                <w:rFonts w:hint="eastAsia"/>
                <w:color w:val="auto"/>
                <w:vertAlign w:val="subscript"/>
                <w:lang w:val="en-US" w:eastAsia="zh-CN"/>
              </w:rPr>
              <w:t>i</w:t>
            </w:r>
            <w:r>
              <w:rPr>
                <w:color w:val="auto"/>
              </w:rPr>
              <w:t>/330</w:t>
            </w:r>
          </w:p>
        </w:tc>
      </w:tr>
    </w:tbl>
    <w:p>
      <w:pPr>
        <w:pStyle w:val="28"/>
        <w:bidi w:val="0"/>
        <w:rPr>
          <w:rFonts w:hint="eastAsia"/>
          <w:color w:val="auto"/>
        </w:rPr>
      </w:pPr>
      <w:r>
        <w:rPr>
          <w:rFonts w:hint="eastAsia"/>
          <w:color w:val="auto"/>
        </w:rPr>
        <w:t>注：</w:t>
      </w:r>
      <w:r>
        <w:rPr>
          <w:rFonts w:hint="eastAsia"/>
          <w:color w:val="auto"/>
          <w:lang w:val="en-US" w:eastAsia="zh-CN"/>
        </w:rPr>
        <w:t>1</w:t>
      </w:r>
      <w:r>
        <w:rPr>
          <w:rFonts w:hint="eastAsia"/>
          <w:color w:val="auto"/>
        </w:rPr>
        <w:t>表中H为结构顶点高度；H</w:t>
      </w:r>
      <w:r>
        <w:rPr>
          <w:rFonts w:hint="eastAsia"/>
          <w:color w:val="auto"/>
          <w:vertAlign w:val="subscript"/>
          <w:lang w:val="en-US" w:eastAsia="zh-CN"/>
        </w:rPr>
        <w:t>i</w:t>
      </w:r>
      <w:r>
        <w:rPr>
          <w:rFonts w:hint="eastAsia"/>
          <w:color w:val="auto"/>
        </w:rPr>
        <w:t>为第i层层间高度；</w:t>
      </w:r>
    </w:p>
    <w:p>
      <w:pPr>
        <w:pStyle w:val="38"/>
        <w:bidi w:val="0"/>
        <w:rPr>
          <w:rFonts w:hint="eastAsia"/>
        </w:rPr>
      </w:pPr>
      <w:r>
        <w:rPr>
          <w:rFonts w:hint="eastAsia"/>
        </w:rPr>
        <w:t>2 墙包括带壁柱墙。</w:t>
      </w:r>
    </w:p>
    <w:p>
      <w:pPr>
        <w:pStyle w:val="26"/>
        <w:bidi w:val="0"/>
        <w:rPr>
          <w:rFonts w:hint="eastAsia"/>
          <w:color w:val="auto"/>
          <w:lang w:val="en-US" w:eastAsia="zh-CN"/>
        </w:rPr>
      </w:pPr>
      <w:r>
        <w:rPr>
          <w:rFonts w:hint="eastAsia"/>
          <w:color w:val="auto"/>
          <w:lang w:val="en-US" w:eastAsia="zh-CN"/>
        </w:rPr>
        <w:t>【条文说明】2013年以后设计建造的砖拱、壳结构，当对砖拱、壳结构进行鉴定时，出现的下列位移变形的构件应评为c</w:t>
      </w:r>
      <w:r>
        <w:rPr>
          <w:rFonts w:hint="eastAsia" w:hAnsi="Cambria Math" w:eastAsia="宋体" w:cs="宋体"/>
          <w:color w:val="auto"/>
          <w:vertAlign w:val="subscript"/>
          <w:lang w:val="en-US" w:eastAsia="zh-CN"/>
        </w:rPr>
        <w:t>u</w:t>
      </w:r>
      <w:r>
        <w:rPr>
          <w:rFonts w:hint="eastAsia"/>
          <w:color w:val="auto"/>
          <w:lang w:val="en-US" w:eastAsia="zh-CN"/>
        </w:rPr>
        <w:t>级：</w:t>
      </w:r>
    </w:p>
    <w:p>
      <w:pPr>
        <w:pStyle w:val="26"/>
        <w:bidi w:val="0"/>
        <w:rPr>
          <w:rFonts w:hint="eastAsia"/>
          <w:color w:val="auto"/>
          <w:lang w:val="en-US" w:eastAsia="zh-CN"/>
        </w:rPr>
      </w:pPr>
      <w:r>
        <w:rPr>
          <w:rFonts w:hint="eastAsia"/>
          <w:color w:val="auto"/>
          <w:lang w:val="en-US" w:eastAsia="zh-CN"/>
        </w:rPr>
        <w:t>（1）拱脚或壳的边梁出现水平位移；</w:t>
      </w:r>
    </w:p>
    <w:p>
      <w:pPr>
        <w:pStyle w:val="26"/>
        <w:bidi w:val="0"/>
        <w:rPr>
          <w:color w:val="auto"/>
        </w:rPr>
      </w:pPr>
      <w:r>
        <w:rPr>
          <w:rFonts w:hint="eastAsia"/>
          <w:color w:val="auto"/>
          <w:lang w:val="en-US" w:eastAsia="zh-CN"/>
        </w:rPr>
        <w:t>（2）拱轴线或筒拱、扁壳的曲面发生变形。</w:t>
      </w:r>
    </w:p>
    <w:p>
      <w:pPr>
        <w:pStyle w:val="5"/>
        <w:bidi w:val="0"/>
        <w:ind w:left="0" w:leftChars="0" w:firstLine="0" w:firstLineChars="0"/>
        <w:rPr>
          <w:rFonts w:hint="eastAsia"/>
          <w:color w:val="auto"/>
          <w:lang w:val="en-US" w:eastAsia="zh-CN"/>
        </w:rPr>
      </w:pPr>
      <w:bookmarkStart w:id="61" w:name="_Ref9256"/>
      <w:r>
        <w:rPr>
          <w:rFonts w:hint="eastAsia"/>
          <w:color w:val="auto"/>
          <w:lang w:val="en-US" w:eastAsia="zh-CN"/>
        </w:rPr>
        <w:t>当砌体结构构件出现下列受力裂缝时，应评为c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bookmarkEnd w:id="61"/>
    </w:p>
    <w:p>
      <w:pPr>
        <w:pStyle w:val="36"/>
        <w:bidi w:val="0"/>
        <w:rPr>
          <w:rFonts w:hint="eastAsia"/>
          <w:color w:val="auto"/>
          <w:lang w:val="en-US" w:eastAsia="zh-CN"/>
        </w:rPr>
      </w:pPr>
      <w:r>
        <w:rPr>
          <w:rFonts w:hint="eastAsia"/>
          <w:color w:val="auto"/>
          <w:lang w:val="en-US" w:eastAsia="zh-CN"/>
        </w:rPr>
        <w:t>桁架、主梁支座下的墙、柱的端部或中部，出现沿块材断裂或贯通的竖向裂缝或斜裂缝；</w:t>
      </w:r>
    </w:p>
    <w:p>
      <w:pPr>
        <w:pStyle w:val="36"/>
        <w:bidi w:val="0"/>
        <w:rPr>
          <w:rFonts w:hint="eastAsia"/>
          <w:color w:val="auto"/>
          <w:lang w:val="en-US" w:eastAsia="zh-CN"/>
        </w:rPr>
      </w:pPr>
      <w:r>
        <w:rPr>
          <w:rFonts w:hint="eastAsia"/>
          <w:color w:val="auto"/>
          <w:lang w:val="en-US" w:eastAsia="zh-CN"/>
        </w:rPr>
        <w:t>空旷房屋承重外墙的变截面处，出现水平裂缝或沿块材断裂的斜向裂缝；</w:t>
      </w:r>
    </w:p>
    <w:p>
      <w:pPr>
        <w:pStyle w:val="36"/>
        <w:bidi w:val="0"/>
        <w:rPr>
          <w:rFonts w:hint="eastAsia"/>
          <w:color w:val="auto"/>
          <w:lang w:val="en-US" w:eastAsia="zh-CN"/>
        </w:rPr>
      </w:pPr>
      <w:r>
        <w:rPr>
          <w:rFonts w:hint="eastAsia"/>
          <w:color w:val="auto"/>
          <w:lang w:val="en-US" w:eastAsia="zh-CN"/>
        </w:rPr>
        <w:t>砖砌过梁的跨中或支座出现裂缝，或虽未出现肉眼可见的裂缝，但发现其跨度范围内有集中荷载；</w:t>
      </w:r>
    </w:p>
    <w:p>
      <w:pPr>
        <w:pStyle w:val="36"/>
        <w:bidi w:val="0"/>
        <w:rPr>
          <w:rFonts w:hint="eastAsia"/>
          <w:color w:val="auto"/>
          <w:lang w:val="en-US" w:eastAsia="zh-CN"/>
        </w:rPr>
      </w:pPr>
      <w:r>
        <w:rPr>
          <w:rFonts w:hint="eastAsia"/>
          <w:color w:val="auto"/>
          <w:lang w:val="en-US" w:eastAsia="zh-CN"/>
        </w:rPr>
        <w:t>其他明显的受压、受弯或受剪裂缝。</w:t>
      </w:r>
    </w:p>
    <w:p>
      <w:pPr>
        <w:pStyle w:val="26"/>
        <w:bidi w:val="0"/>
        <w:rPr>
          <w:rFonts w:hint="default"/>
          <w:color w:val="auto"/>
          <w:lang w:val="en-US" w:eastAsia="zh-CN"/>
        </w:rPr>
      </w:pPr>
      <w:r>
        <w:rPr>
          <w:rFonts w:hint="eastAsia" w:ascii="Times New Roman" w:hAnsi="Times New Roman"/>
          <w:color w:val="auto"/>
          <w:lang w:val="en-US" w:eastAsia="zh-CN"/>
        </w:rPr>
        <w:t>【条文说明】</w:t>
      </w:r>
      <w:r>
        <w:rPr>
          <w:rFonts w:hint="eastAsia"/>
          <w:color w:val="auto"/>
          <w:lang w:val="en-US" w:eastAsia="zh-CN"/>
        </w:rPr>
        <w:t>延性破坏是指材料、构件或结构具有在破坏前发生较大变形并保持其承载力的能力，宏观表现上为挠度、倾斜、裂缝等明显破坏先兆的破坏模式，更为重要的是，尽管出现明显的破坏征兆，但延性材料或结构仍然能够保持其承载力，如混凝土结构、钢结构等。脆性是与延性相对应的破坏性质，脆性材料构件、结构在破坏前几乎没有变形能力，在宏观上则表现为突然性的断裂、失稳或坍塌等。</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砌体结构</w:t>
      </w:r>
      <w:r>
        <w:rPr>
          <w:rFonts w:hint="eastAsia"/>
          <w:color w:val="auto"/>
          <w:lang w:val="en-US" w:eastAsia="zh-CN"/>
        </w:rPr>
        <w:t>具有</w:t>
      </w:r>
      <w:r>
        <w:rPr>
          <w:rFonts w:hint="eastAsia" w:ascii="Times New Roman" w:hAnsi="Times New Roman"/>
          <w:color w:val="auto"/>
          <w:lang w:val="en-US" w:eastAsia="zh-CN"/>
        </w:rPr>
        <w:t>脆性破坏的特性，当承载力严重不足时，相应部位便会出现受力引起的裂缝</w:t>
      </w:r>
      <w:r>
        <w:rPr>
          <w:rFonts w:hint="eastAsia"/>
          <w:color w:val="auto"/>
          <w:lang w:val="en-US" w:eastAsia="zh-CN"/>
        </w:rPr>
        <w:t>，</w:t>
      </w:r>
      <w:r>
        <w:rPr>
          <w:rFonts w:hint="eastAsia" w:ascii="Times New Roman" w:hAnsi="Times New Roman"/>
          <w:color w:val="auto"/>
          <w:lang w:val="en-US" w:eastAsia="zh-CN"/>
        </w:rPr>
        <w:t>这种裂缝即使很小，也具有同样的危害性。因此，本导则作出了凡是检查出受力性裂缝，就评为c</w:t>
      </w:r>
      <w:r>
        <w:rPr>
          <w:rFonts w:hint="eastAsia" w:hAnsi="Cambria Math" w:eastAsia="宋体" w:cs="宋体"/>
          <w:color w:val="auto"/>
          <w:vertAlign w:val="subscript"/>
          <w:lang w:val="en-US" w:eastAsia="zh-CN"/>
        </w:rPr>
        <w:t>u</w:t>
      </w:r>
      <w:r>
        <w:rPr>
          <w:rFonts w:hint="eastAsia" w:ascii="Times New Roman" w:hAnsi="Times New Roman"/>
          <w:color w:val="auto"/>
          <w:lang w:val="en-US" w:eastAsia="zh-CN"/>
        </w:rPr>
        <w:t>级的规定。</w:t>
      </w:r>
    </w:p>
    <w:p>
      <w:pPr>
        <w:pStyle w:val="26"/>
        <w:bidi w:val="0"/>
        <w:rPr>
          <w:rFonts w:hint="eastAsia"/>
          <w:color w:val="auto"/>
          <w:lang w:val="en-US" w:eastAsia="zh-CN"/>
        </w:rPr>
      </w:pPr>
      <w:r>
        <w:rPr>
          <w:rFonts w:hint="eastAsia"/>
          <w:color w:val="auto"/>
          <w:lang w:val="en-US" w:eastAsia="zh-CN"/>
        </w:rPr>
        <w:t>对2013年以后设计建造的砖拱、壳结构进行鉴定时，出现下列裂缝的构件应评为c</w:t>
      </w:r>
      <w:r>
        <w:rPr>
          <w:rFonts w:hint="eastAsia" w:hAnsi="Cambria Math" w:eastAsia="宋体" w:cs="宋体"/>
          <w:color w:val="auto"/>
          <w:vertAlign w:val="subscript"/>
          <w:lang w:val="en-US" w:eastAsia="zh-CN"/>
        </w:rPr>
        <w:t>u</w:t>
      </w:r>
      <w:r>
        <w:rPr>
          <w:rFonts w:hint="eastAsia"/>
          <w:color w:val="auto"/>
          <w:lang w:val="en-US" w:eastAsia="zh-CN"/>
        </w:rPr>
        <w:t>级：</w:t>
      </w:r>
    </w:p>
    <w:p>
      <w:pPr>
        <w:pStyle w:val="26"/>
        <w:numPr>
          <w:ilvl w:val="0"/>
          <w:numId w:val="9"/>
        </w:numPr>
        <w:bidi w:val="0"/>
        <w:ind w:left="5" w:leftChars="0" w:firstLine="470" w:firstLineChars="196"/>
        <w:rPr>
          <w:rFonts w:hint="eastAsia"/>
          <w:color w:val="auto"/>
          <w:lang w:val="en-US" w:eastAsia="zh-CN"/>
        </w:rPr>
      </w:pPr>
      <w:r>
        <w:rPr>
          <w:rFonts w:hint="eastAsia"/>
          <w:color w:val="auto"/>
          <w:lang w:val="en-US" w:eastAsia="zh-CN"/>
        </w:rPr>
        <w:t>筒拱、双曲筒拱、扁壳等的拱面、壳面，出现沿拱顶母线或对角线的裂缝；</w:t>
      </w:r>
    </w:p>
    <w:p>
      <w:pPr>
        <w:pStyle w:val="26"/>
        <w:numPr>
          <w:ilvl w:val="0"/>
          <w:numId w:val="9"/>
        </w:numPr>
        <w:bidi w:val="0"/>
        <w:ind w:left="425" w:leftChars="0" w:firstLine="52" w:firstLineChars="22"/>
        <w:rPr>
          <w:rFonts w:hint="eastAsia"/>
          <w:color w:val="auto"/>
          <w:lang w:val="en-US" w:eastAsia="zh-CN"/>
        </w:rPr>
      </w:pPr>
      <w:r>
        <w:rPr>
          <w:rFonts w:hint="eastAsia"/>
          <w:color w:val="auto"/>
          <w:lang w:val="en-US" w:eastAsia="zh-CN"/>
        </w:rPr>
        <w:t>拱、壳支座附近或支承的墙体上出现沿块材断裂的斜裂缝；</w:t>
      </w:r>
    </w:p>
    <w:p>
      <w:pPr>
        <w:pStyle w:val="5"/>
        <w:bidi w:val="0"/>
        <w:ind w:left="0" w:leftChars="0" w:firstLine="0" w:firstLineChars="0"/>
        <w:rPr>
          <w:rFonts w:hint="eastAsia"/>
          <w:color w:val="auto"/>
          <w:lang w:val="en-US" w:eastAsia="zh-CN"/>
        </w:rPr>
      </w:pPr>
      <w:r>
        <w:rPr>
          <w:rFonts w:hint="eastAsia"/>
          <w:color w:val="auto"/>
          <w:lang w:val="en-US" w:eastAsia="zh-CN"/>
        </w:rPr>
        <w:t>当砌体结构、构件出现下列非受力裂缝时，应评为c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36"/>
        <w:bidi w:val="0"/>
        <w:rPr>
          <w:rFonts w:hint="eastAsia"/>
          <w:color w:val="auto"/>
          <w:lang w:val="en-US" w:eastAsia="zh-CN"/>
        </w:rPr>
      </w:pPr>
      <w:r>
        <w:rPr>
          <w:rFonts w:hint="eastAsia"/>
          <w:color w:val="auto"/>
          <w:lang w:val="en-US" w:eastAsia="zh-CN"/>
        </w:rPr>
        <w:t>纵横墙连接处出现通长的竖向裂缝；</w:t>
      </w:r>
    </w:p>
    <w:p>
      <w:pPr>
        <w:pStyle w:val="36"/>
        <w:bidi w:val="0"/>
        <w:rPr>
          <w:rFonts w:hint="eastAsia"/>
          <w:color w:val="auto"/>
          <w:lang w:val="en-US" w:eastAsia="zh-CN"/>
        </w:rPr>
      </w:pPr>
      <w:r>
        <w:rPr>
          <w:rFonts w:hint="eastAsia"/>
          <w:color w:val="auto"/>
          <w:lang w:val="en-US" w:eastAsia="zh-CN"/>
        </w:rPr>
        <w:t>承重墙体裂缝严重，且最大裂缝宽度已大于1.5mm；</w:t>
      </w:r>
    </w:p>
    <w:p>
      <w:pPr>
        <w:pStyle w:val="36"/>
        <w:bidi w:val="0"/>
        <w:rPr>
          <w:rFonts w:hint="eastAsia"/>
          <w:color w:val="auto"/>
          <w:lang w:val="en-US" w:eastAsia="zh-CN"/>
        </w:rPr>
      </w:pPr>
      <w:r>
        <w:rPr>
          <w:rFonts w:hint="eastAsia"/>
          <w:color w:val="auto"/>
          <w:lang w:val="en-US" w:eastAsia="zh-CN"/>
        </w:rPr>
        <w:t>独立柱已出现裂缝，或有断裂、错位迹象；</w:t>
      </w:r>
    </w:p>
    <w:p>
      <w:pPr>
        <w:pStyle w:val="36"/>
        <w:bidi w:val="0"/>
        <w:rPr>
          <w:rFonts w:hint="eastAsia"/>
          <w:color w:val="auto"/>
          <w:lang w:val="en-US" w:eastAsia="zh-CN"/>
        </w:rPr>
      </w:pPr>
      <w:r>
        <w:rPr>
          <w:rFonts w:hint="eastAsia"/>
          <w:color w:val="auto"/>
          <w:lang w:val="en-US" w:eastAsia="zh-CN"/>
        </w:rPr>
        <w:t>其他显著影响结构整体性的裂缝。</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条文说明】非受力裂缝系指由温度、收缩、变形或地基不均匀沉降等引起的裂缝。砌体构件过大的非受力性裂缝，虽然是由于温度、收缩变形以及地基不均匀沉降等因素引起的，但它的存在却破坏了砌体结构整体性，恶化了砌体构件的承载条件，且终将由于裂缝宽度过大而危及构件承载的安全。因此，也有必要列为安全性鉴定的检查项目。</w:t>
      </w:r>
    </w:p>
    <w:p>
      <w:pPr>
        <w:pStyle w:val="5"/>
        <w:bidi w:val="0"/>
        <w:ind w:left="0" w:leftChars="0" w:firstLine="0" w:firstLineChars="0"/>
        <w:rPr>
          <w:rFonts w:hint="eastAsia"/>
          <w:color w:val="auto"/>
        </w:rPr>
      </w:pPr>
      <w:bookmarkStart w:id="62" w:name="_Ref9269"/>
      <w:r>
        <w:rPr>
          <w:rFonts w:hint="eastAsia"/>
          <w:color w:val="auto"/>
          <w:lang w:val="en-US" w:eastAsia="zh-CN"/>
        </w:rPr>
        <w:t>当砌体结构构件块材或砂浆层出现风化或粉化，且截面损伤削弱面积大于15%时，应评为c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bookmarkEnd w:id="62"/>
    </w:p>
    <w:p>
      <w:pPr>
        <w:pStyle w:val="5"/>
        <w:bidi w:val="0"/>
        <w:ind w:left="0" w:leftChars="0" w:firstLine="0" w:firstLineChars="0"/>
        <w:rPr>
          <w:rFonts w:hint="eastAsia"/>
          <w:color w:val="auto"/>
          <w:lang w:val="en-US" w:eastAsia="zh-CN"/>
        </w:rPr>
      </w:pPr>
      <w:bookmarkStart w:id="63" w:name="_Ref16340"/>
      <w:bookmarkStart w:id="64" w:name="_Ref24189"/>
      <w:r>
        <w:rPr>
          <w:rFonts w:hint="eastAsia"/>
          <w:color w:val="auto"/>
          <w:lang w:val="en-US" w:eastAsia="zh-CN"/>
        </w:rPr>
        <w:t>砌体结构构件的安全性按验算项目评级，应按表</w:t>
      </w:r>
      <w:r>
        <w:rPr>
          <w:rFonts w:hint="eastAsia"/>
          <w:color w:val="auto"/>
          <w:lang w:val="en-US" w:eastAsia="zh-CN"/>
        </w:rPr>
        <w:fldChar w:fldCharType="begin"/>
      </w:r>
      <w:r>
        <w:rPr>
          <w:rFonts w:hint="eastAsia"/>
          <w:color w:val="auto"/>
          <w:lang w:val="en-US" w:eastAsia="zh-CN"/>
        </w:rPr>
        <w:instrText xml:space="preserve"> REF _Ref16340 \n \h </w:instrText>
      </w:r>
      <w:r>
        <w:rPr>
          <w:rFonts w:hint="eastAsia"/>
          <w:color w:val="auto"/>
          <w:lang w:val="en-US" w:eastAsia="zh-CN"/>
        </w:rPr>
        <w:fldChar w:fldCharType="separate"/>
      </w:r>
      <w:r>
        <w:rPr>
          <w:rFonts w:hint="eastAsia"/>
          <w:color w:val="auto"/>
          <w:lang w:val="en-US" w:eastAsia="zh-CN"/>
        </w:rPr>
        <w:t>7.2.15</w:t>
      </w:r>
      <w:r>
        <w:rPr>
          <w:rFonts w:hint="eastAsia"/>
          <w:color w:val="auto"/>
          <w:lang w:val="en-US" w:eastAsia="zh-CN"/>
        </w:rPr>
        <w:fldChar w:fldCharType="end"/>
      </w:r>
      <w:r>
        <w:rPr>
          <w:rFonts w:hint="eastAsia"/>
          <w:color w:val="auto"/>
          <w:lang w:val="en-US" w:eastAsia="zh-CN"/>
        </w:rPr>
        <w:t>的规定分别对每一验算项目的等级进行评级，并应取其中最低等级作为该构件验算项目的安全性等级。砌体结构承载力、倾覆、滑移、漂浮等验算，应按国家现行有关规范的规定进行。</w:t>
      </w:r>
      <w:bookmarkEnd w:id="63"/>
    </w:p>
    <w:p>
      <w:pPr>
        <w:pStyle w:val="25"/>
        <w:bidi w:val="0"/>
        <w:rPr>
          <w:rFonts w:hint="default" w:eastAsia="黑体"/>
          <w:color w:val="auto"/>
          <w:lang w:val="en-US" w:eastAsia="zh-CN"/>
        </w:rPr>
      </w:pPr>
      <w:r>
        <w:rPr>
          <w:rFonts w:hint="eastAsia"/>
          <w:color w:val="auto"/>
        </w:rPr>
        <w:t>表</w:t>
      </w:r>
      <w:r>
        <w:rPr>
          <w:rFonts w:hint="eastAsia"/>
          <w:color w:val="auto"/>
          <w:lang w:val="en-US" w:eastAsia="zh-CN"/>
        </w:rPr>
        <w:fldChar w:fldCharType="begin"/>
      </w:r>
      <w:r>
        <w:rPr>
          <w:rFonts w:hint="eastAsia"/>
          <w:color w:val="auto"/>
          <w:lang w:val="en-US" w:eastAsia="zh-CN"/>
        </w:rPr>
        <w:instrText xml:space="preserve"> REF _Ref16340 \n \h </w:instrText>
      </w:r>
      <w:r>
        <w:rPr>
          <w:rFonts w:hint="eastAsia"/>
          <w:color w:val="auto"/>
          <w:lang w:val="en-US" w:eastAsia="zh-CN"/>
        </w:rPr>
        <w:fldChar w:fldCharType="separate"/>
      </w:r>
      <w:r>
        <w:rPr>
          <w:rFonts w:hint="eastAsia"/>
          <w:color w:val="auto"/>
          <w:lang w:val="en-US" w:eastAsia="zh-CN"/>
        </w:rPr>
        <w:t>7.2.15</w:t>
      </w:r>
      <w:r>
        <w:rPr>
          <w:rFonts w:hint="eastAsia"/>
          <w:color w:val="auto"/>
          <w:lang w:val="en-US" w:eastAsia="zh-CN"/>
        </w:rPr>
        <w:fldChar w:fldCharType="end"/>
      </w:r>
      <w:r>
        <w:rPr>
          <w:rFonts w:hint="eastAsia"/>
          <w:color w:val="auto"/>
        </w:rPr>
        <w:t xml:space="preserve"> </w:t>
      </w:r>
      <w:r>
        <w:rPr>
          <w:rFonts w:hint="eastAsia"/>
          <w:color w:val="auto"/>
          <w:lang w:eastAsia="zh-CN"/>
        </w:rPr>
        <w:t>按验算项目评级的</w:t>
      </w:r>
      <w:r>
        <w:rPr>
          <w:rFonts w:hint="eastAsia"/>
          <w:color w:val="auto"/>
          <w:lang w:val="en-US" w:eastAsia="zh-CN"/>
        </w:rPr>
        <w:t>砌体</w:t>
      </w:r>
      <w:r>
        <w:rPr>
          <w:rFonts w:hint="eastAsia"/>
          <w:color w:val="auto"/>
          <w:lang w:eastAsia="zh-CN"/>
        </w:rPr>
        <w:t>结构构件安全性等级</w:t>
      </w:r>
    </w:p>
    <w:tbl>
      <w:tblPr>
        <w:tblStyle w:val="27"/>
        <w:tblW w:w="502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98"/>
        <w:gridCol w:w="2321"/>
        <w:gridCol w:w="2321"/>
        <w:gridCol w:w="23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36" w:type="pct"/>
            <w:vMerge w:val="restart"/>
            <w:tcBorders>
              <w:bottom w:val="nil"/>
            </w:tcBorders>
            <w:noWrap w:val="0"/>
            <w:vAlign w:val="center"/>
          </w:tcPr>
          <w:p>
            <w:pPr>
              <w:pStyle w:val="24"/>
              <w:bidi w:val="0"/>
              <w:rPr>
                <w:color w:val="auto"/>
              </w:rPr>
            </w:pPr>
            <w:r>
              <w:rPr>
                <w:color w:val="auto"/>
              </w:rPr>
              <w:t>构件类别</w:t>
            </w:r>
          </w:p>
        </w:tc>
        <w:tc>
          <w:tcPr>
            <w:tcW w:w="4163" w:type="pct"/>
            <w:gridSpan w:val="3"/>
            <w:noWrap w:val="0"/>
            <w:vAlign w:val="center"/>
          </w:tcPr>
          <w:p>
            <w:pPr>
              <w:pStyle w:val="24"/>
              <w:bidi w:val="0"/>
              <w:rPr>
                <w:color w:val="auto"/>
              </w:rPr>
            </w:pPr>
            <w:r>
              <w:rPr>
                <w:color w:val="auto"/>
              </w:rPr>
              <w:t>安全性等级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36" w:type="pct"/>
            <w:vMerge w:val="continue"/>
            <w:tcBorders>
              <w:top w:val="nil"/>
            </w:tcBorders>
            <w:noWrap w:val="0"/>
            <w:vAlign w:val="center"/>
          </w:tcPr>
          <w:p>
            <w:pPr>
              <w:pStyle w:val="24"/>
              <w:bidi w:val="0"/>
              <w:rPr>
                <w:color w:val="auto"/>
              </w:rPr>
            </w:pPr>
          </w:p>
        </w:tc>
        <w:tc>
          <w:tcPr>
            <w:tcW w:w="1387" w:type="pct"/>
            <w:noWrap w:val="0"/>
            <w:vAlign w:val="center"/>
          </w:tcPr>
          <w:p>
            <w:pPr>
              <w:pStyle w:val="24"/>
              <w:bidi w:val="0"/>
              <w:rPr>
                <w:color w:val="auto"/>
              </w:rPr>
            </w:pPr>
            <w:r>
              <w:rPr>
                <w:color w:val="auto"/>
              </w:rPr>
              <w:t>a</w:t>
            </w:r>
            <w:r>
              <w:rPr>
                <w:rFonts w:hint="eastAsia" w:hAnsi="Cambria Math" w:cs="宋体"/>
                <w:color w:val="auto"/>
                <w:kern w:val="0"/>
                <w:sz w:val="24"/>
                <w:szCs w:val="24"/>
                <w:vertAlign w:val="subscript"/>
                <w:lang w:val="en-US" w:eastAsia="zh-CN" w:bidi="ar"/>
              </w:rPr>
              <w:t>u</w:t>
            </w:r>
            <w:r>
              <w:rPr>
                <w:color w:val="auto"/>
              </w:rPr>
              <w:t>级</w:t>
            </w:r>
          </w:p>
        </w:tc>
        <w:tc>
          <w:tcPr>
            <w:tcW w:w="1387" w:type="pct"/>
            <w:noWrap w:val="0"/>
            <w:vAlign w:val="center"/>
          </w:tcPr>
          <w:p>
            <w:pPr>
              <w:pStyle w:val="24"/>
              <w:bidi w:val="0"/>
              <w:rPr>
                <w:color w:val="auto"/>
              </w:rPr>
            </w:pPr>
            <w:r>
              <w:rPr>
                <w:rFonts w:hint="eastAsia"/>
                <w:color w:val="auto"/>
                <w:lang w:eastAsia="zh-CN"/>
              </w:rPr>
              <w:t>b</w:t>
            </w:r>
            <w:r>
              <w:rPr>
                <w:rFonts w:hint="eastAsia" w:hAnsi="Cambria Math" w:cs="宋体"/>
                <w:color w:val="auto"/>
                <w:kern w:val="0"/>
                <w:sz w:val="24"/>
                <w:szCs w:val="24"/>
                <w:vertAlign w:val="subscript"/>
                <w:lang w:val="en-US" w:eastAsia="zh-CN" w:bidi="ar"/>
              </w:rPr>
              <w:t>u</w:t>
            </w:r>
            <w:r>
              <w:rPr>
                <w:color w:val="auto"/>
              </w:rPr>
              <w:t>级</w:t>
            </w:r>
          </w:p>
        </w:tc>
        <w:tc>
          <w:tcPr>
            <w:tcW w:w="1388" w:type="pct"/>
            <w:noWrap w:val="0"/>
            <w:vAlign w:val="center"/>
          </w:tcPr>
          <w:p>
            <w:pPr>
              <w:pStyle w:val="24"/>
              <w:bidi w:val="0"/>
              <w:rPr>
                <w:color w:val="auto"/>
              </w:rPr>
            </w:pPr>
            <w:r>
              <w:rPr>
                <w:color w:val="auto"/>
              </w:rPr>
              <w:t>c</w:t>
            </w:r>
            <w:r>
              <w:rPr>
                <w:rFonts w:hint="eastAsia" w:hAnsi="Cambria Math" w:cs="宋体"/>
                <w:color w:val="auto"/>
                <w:kern w:val="0"/>
                <w:sz w:val="24"/>
                <w:szCs w:val="24"/>
                <w:vertAlign w:val="subscript"/>
                <w:lang w:val="en-US" w:eastAsia="zh-CN" w:bidi="ar"/>
              </w:rPr>
              <w:t>u</w:t>
            </w:r>
            <w:r>
              <w:rPr>
                <w:color w:val="auto"/>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36" w:type="pct"/>
            <w:noWrap w:val="0"/>
            <w:vAlign w:val="center"/>
          </w:tcPr>
          <w:p>
            <w:pPr>
              <w:pStyle w:val="24"/>
              <w:bidi w:val="0"/>
              <w:rPr>
                <w:color w:val="auto"/>
                <w:highlight w:val="none"/>
              </w:rPr>
            </w:pPr>
            <w:r>
              <w:rPr>
                <w:color w:val="auto"/>
                <w:highlight w:val="none"/>
              </w:rPr>
              <w:t>主要构件及连接</w:t>
            </w:r>
          </w:p>
        </w:tc>
        <w:tc>
          <w:tcPr>
            <w:tcW w:w="2321" w:type="dxa"/>
            <w:shd w:val="clear" w:color="auto" w:fill="auto"/>
            <w:noWrap w:val="0"/>
            <w:vAlign w:val="center"/>
          </w:tcPr>
          <w:p>
            <w:pPr>
              <w:pStyle w:val="24"/>
              <w:bidi w:val="0"/>
              <w:jc w:val="center"/>
              <w:rPr>
                <w:color w:val="auto"/>
                <w:highlight w:val="none"/>
                <w:lang w:val="en-US" w:eastAsia="en-US"/>
              </w:rPr>
            </w:pPr>
            <w:r>
              <w:rPr>
                <w:color w:val="auto"/>
                <w:highlight w:val="none"/>
              </w:rPr>
              <w:t>R/(γ₀S)≥ 1.00</w:t>
            </w:r>
          </w:p>
        </w:tc>
        <w:tc>
          <w:tcPr>
            <w:tcW w:w="2321" w:type="dxa"/>
            <w:shd w:val="clear" w:color="auto" w:fill="auto"/>
            <w:noWrap w:val="0"/>
            <w:vAlign w:val="center"/>
          </w:tcPr>
          <w:p>
            <w:pPr>
              <w:pStyle w:val="24"/>
              <w:bidi w:val="0"/>
              <w:jc w:val="center"/>
              <w:rPr>
                <w:color w:val="auto"/>
                <w:highlight w:val="none"/>
                <w:lang w:val="en-US" w:eastAsia="en-US"/>
              </w:rPr>
            </w:pPr>
            <w:r>
              <w:rPr>
                <w:rFonts w:hint="eastAsia"/>
                <w:color w:val="auto"/>
                <w:highlight w:val="none"/>
                <w:lang w:val="en-US" w:eastAsia="zh-CN"/>
              </w:rPr>
              <w:t>1.0&gt;</w:t>
            </w:r>
            <w:r>
              <w:rPr>
                <w:color w:val="auto"/>
                <w:highlight w:val="none"/>
              </w:rPr>
              <w:t>R/(γ₀S)≥ 0.95</w:t>
            </w:r>
          </w:p>
        </w:tc>
        <w:tc>
          <w:tcPr>
            <w:tcW w:w="2324" w:type="dxa"/>
            <w:shd w:val="clear" w:color="auto" w:fill="auto"/>
            <w:noWrap w:val="0"/>
            <w:vAlign w:val="center"/>
          </w:tcPr>
          <w:p>
            <w:pPr>
              <w:pStyle w:val="24"/>
              <w:bidi w:val="0"/>
              <w:jc w:val="center"/>
              <w:rPr>
                <w:rFonts w:hint="eastAsia" w:eastAsia="宋体"/>
                <w:color w:val="auto"/>
                <w:highlight w:val="none"/>
                <w:lang w:val="en-US" w:eastAsia="zh-CN"/>
              </w:rPr>
            </w:pPr>
            <w:r>
              <w:rPr>
                <w:color w:val="auto"/>
                <w:highlight w:val="none"/>
              </w:rPr>
              <w:t>R/(γ₀S)</w:t>
            </w:r>
            <w:r>
              <w:rPr>
                <w:rFonts w:hint="eastAsia"/>
                <w:color w:val="auto"/>
                <w:highlight w:val="none"/>
                <w:lang w:val="en-US" w:eastAsia="zh-CN"/>
              </w:rPr>
              <w:t>＜</w:t>
            </w:r>
            <w:r>
              <w:rPr>
                <w:color w:val="auto"/>
                <w:highlight w:val="none"/>
              </w:rPr>
              <w:t>0.9</w:t>
            </w:r>
            <w:r>
              <w:rPr>
                <w:rFonts w:hint="eastAsia"/>
                <w:color w:val="auto"/>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836" w:type="pct"/>
            <w:noWrap w:val="0"/>
            <w:vAlign w:val="center"/>
          </w:tcPr>
          <w:p>
            <w:pPr>
              <w:pStyle w:val="24"/>
              <w:bidi w:val="0"/>
              <w:rPr>
                <w:color w:val="auto"/>
                <w:highlight w:val="none"/>
              </w:rPr>
            </w:pPr>
            <w:r>
              <w:rPr>
                <w:color w:val="auto"/>
                <w:highlight w:val="none"/>
              </w:rPr>
              <w:t>一般构件</w:t>
            </w:r>
          </w:p>
        </w:tc>
        <w:tc>
          <w:tcPr>
            <w:tcW w:w="2321" w:type="dxa"/>
            <w:shd w:val="clear" w:color="auto" w:fill="auto"/>
            <w:noWrap w:val="0"/>
            <w:vAlign w:val="center"/>
          </w:tcPr>
          <w:p>
            <w:pPr>
              <w:pStyle w:val="24"/>
              <w:bidi w:val="0"/>
              <w:jc w:val="center"/>
              <w:rPr>
                <w:color w:val="auto"/>
                <w:highlight w:val="none"/>
                <w:lang w:val="en-US" w:eastAsia="en-US"/>
              </w:rPr>
            </w:pPr>
            <w:r>
              <w:rPr>
                <w:color w:val="auto"/>
                <w:highlight w:val="none"/>
              </w:rPr>
              <w:t>R/(γ₀S)≥ 1.00</w:t>
            </w:r>
          </w:p>
        </w:tc>
        <w:tc>
          <w:tcPr>
            <w:tcW w:w="2321" w:type="dxa"/>
            <w:shd w:val="clear" w:color="auto" w:fill="auto"/>
            <w:noWrap w:val="0"/>
            <w:vAlign w:val="center"/>
          </w:tcPr>
          <w:p>
            <w:pPr>
              <w:pStyle w:val="24"/>
              <w:bidi w:val="0"/>
              <w:jc w:val="center"/>
              <w:rPr>
                <w:color w:val="auto"/>
                <w:highlight w:val="none"/>
                <w:lang w:val="en-US" w:eastAsia="en-US"/>
              </w:rPr>
            </w:pPr>
            <w:r>
              <w:rPr>
                <w:rFonts w:hint="eastAsia"/>
                <w:color w:val="auto"/>
                <w:highlight w:val="none"/>
                <w:lang w:val="en-US" w:eastAsia="zh-CN"/>
              </w:rPr>
              <w:t>1.0&gt;</w:t>
            </w:r>
            <w:r>
              <w:rPr>
                <w:color w:val="auto"/>
                <w:highlight w:val="none"/>
              </w:rPr>
              <w:t>R/(γ₀S)≥ 0.90</w:t>
            </w:r>
          </w:p>
        </w:tc>
        <w:tc>
          <w:tcPr>
            <w:tcW w:w="2324" w:type="dxa"/>
            <w:shd w:val="clear" w:color="auto" w:fill="auto"/>
            <w:noWrap w:val="0"/>
            <w:vAlign w:val="center"/>
          </w:tcPr>
          <w:p>
            <w:pPr>
              <w:pStyle w:val="24"/>
              <w:bidi w:val="0"/>
              <w:jc w:val="center"/>
              <w:rPr>
                <w:rFonts w:hint="default"/>
                <w:color w:val="auto"/>
                <w:highlight w:val="none"/>
                <w:lang w:val="en-US"/>
              </w:rPr>
            </w:pPr>
            <w:r>
              <w:rPr>
                <w:color w:val="auto"/>
                <w:highlight w:val="none"/>
              </w:rPr>
              <w:t>R/(γ₀S)</w:t>
            </w:r>
            <w:r>
              <w:rPr>
                <w:rFonts w:hint="eastAsia"/>
                <w:color w:val="auto"/>
                <w:highlight w:val="none"/>
                <w:lang w:val="en-US" w:eastAsia="zh-CN"/>
              </w:rPr>
              <w:t>＜0.90</w:t>
            </w:r>
          </w:p>
        </w:tc>
      </w:tr>
      <w:bookmarkEnd w:id="64"/>
    </w:tbl>
    <w:p>
      <w:pPr>
        <w:pStyle w:val="5"/>
        <w:bidi w:val="0"/>
        <w:ind w:left="0" w:leftChars="0" w:firstLine="0" w:firstLineChars="0"/>
        <w:rPr>
          <w:rFonts w:hint="eastAsia"/>
          <w:color w:val="auto"/>
        </w:rPr>
      </w:pPr>
      <w:bookmarkStart w:id="65" w:name="_Ref10792"/>
      <w:bookmarkStart w:id="66" w:name="_Ref16235"/>
      <w:r>
        <w:rPr>
          <w:rFonts w:hint="eastAsia"/>
          <w:color w:val="auto"/>
          <w:lang w:val="en-US" w:eastAsia="zh-CN"/>
        </w:rPr>
        <w:t>楼层安全性</w:t>
      </w:r>
      <w:r>
        <w:rPr>
          <w:rFonts w:hint="eastAsia"/>
          <w:color w:val="auto"/>
        </w:rPr>
        <w:t>等级</w:t>
      </w:r>
      <w:r>
        <w:rPr>
          <w:rFonts w:hint="eastAsia"/>
          <w:color w:val="auto"/>
          <w:lang w:val="en-US" w:eastAsia="zh-CN"/>
        </w:rPr>
        <w:t>按主要构件进行</w:t>
      </w:r>
      <w:r>
        <w:rPr>
          <w:rFonts w:hint="eastAsia"/>
          <w:color w:val="auto"/>
        </w:rPr>
        <w:t>评</w:t>
      </w:r>
      <w:r>
        <w:rPr>
          <w:rFonts w:hint="eastAsia"/>
          <w:color w:val="auto"/>
          <w:lang w:val="en-US" w:eastAsia="zh-CN"/>
        </w:rPr>
        <w:t>级</w:t>
      </w:r>
      <w:r>
        <w:rPr>
          <w:rFonts w:hint="eastAsia"/>
          <w:color w:val="auto"/>
          <w:lang w:eastAsia="zh-CN"/>
        </w:rPr>
        <w:t>，</w:t>
      </w:r>
      <w:r>
        <w:rPr>
          <w:rFonts w:hint="eastAsia"/>
          <w:color w:val="auto"/>
          <w:lang w:val="en-US" w:eastAsia="zh-CN"/>
        </w:rPr>
        <w:t>应</w:t>
      </w:r>
      <w:r>
        <w:rPr>
          <w:rFonts w:hint="eastAsia"/>
          <w:color w:val="auto"/>
        </w:rPr>
        <w:t>根据</w:t>
      </w:r>
      <w:r>
        <w:rPr>
          <w:rFonts w:hint="eastAsia"/>
          <w:color w:val="auto"/>
          <w:lang w:val="en-US" w:eastAsia="zh-CN"/>
        </w:rPr>
        <w:t>楼层中</w:t>
      </w:r>
      <w:r>
        <w:rPr>
          <w:rFonts w:hint="eastAsia"/>
          <w:color w:val="auto"/>
        </w:rPr>
        <w:t>每一受检构件的评</w:t>
      </w:r>
      <w:r>
        <w:rPr>
          <w:rFonts w:hint="eastAsia"/>
          <w:color w:val="auto"/>
          <w:lang w:val="en-US" w:eastAsia="zh-CN"/>
        </w:rPr>
        <w:t>级</w:t>
      </w:r>
      <w:r>
        <w:rPr>
          <w:rFonts w:hint="eastAsia"/>
          <w:color w:val="auto"/>
        </w:rPr>
        <w:t>结果</w:t>
      </w:r>
      <w:r>
        <w:rPr>
          <w:rFonts w:hint="eastAsia"/>
          <w:color w:val="auto"/>
          <w:lang w:eastAsia="zh-CN"/>
        </w:rPr>
        <w:t>，</w:t>
      </w:r>
      <w:r>
        <w:rPr>
          <w:rFonts w:hint="eastAsia"/>
          <w:color w:val="auto"/>
        </w:rPr>
        <w:t>按表</w:t>
      </w:r>
      <w:r>
        <w:rPr>
          <w:rFonts w:hint="eastAsia"/>
          <w:color w:val="auto"/>
          <w:lang w:eastAsia="zh-CN"/>
        </w:rPr>
        <w:fldChar w:fldCharType="begin"/>
      </w:r>
      <w:r>
        <w:rPr>
          <w:rFonts w:hint="eastAsia"/>
          <w:color w:val="auto"/>
          <w:lang w:eastAsia="zh-CN"/>
        </w:rPr>
        <w:instrText xml:space="preserve"> REF _Ref10792 \n \h </w:instrText>
      </w:r>
      <w:r>
        <w:rPr>
          <w:rFonts w:hint="eastAsia"/>
          <w:color w:val="auto"/>
          <w:lang w:eastAsia="zh-CN"/>
        </w:rPr>
        <w:fldChar w:fldCharType="separate"/>
      </w:r>
      <w:r>
        <w:rPr>
          <w:rFonts w:hint="eastAsia"/>
          <w:color w:val="auto"/>
          <w:lang w:eastAsia="zh-CN"/>
        </w:rPr>
        <w:t>7.2.16</w:t>
      </w:r>
      <w:r>
        <w:rPr>
          <w:rFonts w:hint="eastAsia"/>
          <w:color w:val="auto"/>
          <w:lang w:eastAsia="zh-CN"/>
        </w:rPr>
        <w:fldChar w:fldCharType="end"/>
      </w:r>
      <w:r>
        <w:rPr>
          <w:rFonts w:hint="eastAsia"/>
          <w:color w:val="auto"/>
        </w:rPr>
        <w:t>的</w:t>
      </w:r>
      <w:r>
        <w:rPr>
          <w:rFonts w:hint="eastAsia"/>
          <w:color w:val="auto"/>
          <w:lang w:val="en-US" w:eastAsia="zh-CN"/>
        </w:rPr>
        <w:t>规定</w:t>
      </w:r>
      <w:r>
        <w:rPr>
          <w:rFonts w:hint="eastAsia"/>
          <w:color w:val="auto"/>
        </w:rPr>
        <w:t>评级。</w:t>
      </w:r>
      <w:bookmarkEnd w:id="65"/>
      <w:bookmarkEnd w:id="66"/>
    </w:p>
    <w:p>
      <w:pPr>
        <w:pStyle w:val="25"/>
        <w:bidi w:val="0"/>
        <w:rPr>
          <w:rFonts w:hint="eastAsia"/>
          <w:color w:val="auto"/>
          <w:lang w:eastAsia="zh-CN"/>
        </w:rPr>
      </w:pPr>
      <w:r>
        <w:rPr>
          <w:rFonts w:hint="eastAsia"/>
          <w:color w:val="auto"/>
        </w:rPr>
        <w:t>表</w:t>
      </w:r>
      <w:r>
        <w:rPr>
          <w:rFonts w:hint="eastAsia"/>
          <w:color w:val="auto"/>
          <w:lang w:eastAsia="zh-CN"/>
        </w:rPr>
        <w:fldChar w:fldCharType="begin"/>
      </w:r>
      <w:r>
        <w:rPr>
          <w:rFonts w:hint="eastAsia"/>
          <w:color w:val="auto"/>
          <w:lang w:eastAsia="zh-CN"/>
        </w:rPr>
        <w:instrText xml:space="preserve"> REF _Ref10792 \n \h </w:instrText>
      </w:r>
      <w:r>
        <w:rPr>
          <w:rFonts w:hint="eastAsia"/>
          <w:color w:val="auto"/>
          <w:lang w:eastAsia="zh-CN"/>
        </w:rPr>
        <w:fldChar w:fldCharType="separate"/>
      </w:r>
      <w:r>
        <w:rPr>
          <w:rFonts w:hint="eastAsia"/>
          <w:color w:val="auto"/>
          <w:lang w:eastAsia="zh-CN"/>
        </w:rPr>
        <w:t>7.2.16</w:t>
      </w:r>
      <w:r>
        <w:rPr>
          <w:rFonts w:hint="eastAsia"/>
          <w:color w:val="auto"/>
          <w:lang w:eastAsia="zh-CN"/>
        </w:rPr>
        <w:fldChar w:fldCharType="end"/>
      </w:r>
      <w:r>
        <w:rPr>
          <w:rFonts w:hint="eastAsia"/>
          <w:color w:val="auto"/>
        </w:rPr>
        <w:t xml:space="preserve"> </w:t>
      </w:r>
      <w:r>
        <w:rPr>
          <w:rFonts w:hint="eastAsia"/>
          <w:color w:val="auto"/>
          <w:lang w:val="en-US" w:eastAsia="zh-CN"/>
        </w:rPr>
        <w:t>楼层安全性按主要构件</w:t>
      </w:r>
      <w:r>
        <w:rPr>
          <w:rFonts w:hint="eastAsia"/>
          <w:color w:val="auto"/>
        </w:rPr>
        <w:t>评</w:t>
      </w:r>
      <w:r>
        <w:rPr>
          <w:rFonts w:hint="eastAsia"/>
          <w:color w:val="auto"/>
          <w:lang w:val="en-US" w:eastAsia="zh-CN"/>
        </w:rPr>
        <w:t>级</w:t>
      </w:r>
    </w:p>
    <w:tbl>
      <w:tblPr>
        <w:tblStyle w:val="27"/>
        <w:tblpPr w:leftFromText="180" w:rightFromText="180" w:vertAnchor="text" w:horzAnchor="page" w:tblpX="1864" w:tblpY="100"/>
        <w:tblOverlap w:val="never"/>
        <w:tblW w:w="497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54"/>
        <w:gridCol w:w="3619"/>
        <w:gridCol w:w="37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76" w:type="pct"/>
            <w:noWrap w:val="0"/>
            <w:vAlign w:val="center"/>
          </w:tcPr>
          <w:p>
            <w:pPr>
              <w:pStyle w:val="24"/>
              <w:bidi w:val="0"/>
              <w:rPr>
                <w:color w:val="auto"/>
              </w:rPr>
            </w:pPr>
            <w:r>
              <w:rPr>
                <w:color w:val="auto"/>
              </w:rPr>
              <w:t>等级</w:t>
            </w:r>
          </w:p>
        </w:tc>
        <w:tc>
          <w:tcPr>
            <w:tcW w:w="2185" w:type="pct"/>
            <w:noWrap w:val="0"/>
            <w:vAlign w:val="center"/>
          </w:tcPr>
          <w:p>
            <w:pPr>
              <w:pStyle w:val="24"/>
              <w:bidi w:val="0"/>
              <w:rPr>
                <w:rFonts w:hint="eastAsia" w:eastAsia="宋体"/>
                <w:color w:val="auto"/>
                <w:lang w:eastAsia="zh-CN"/>
              </w:rPr>
            </w:pPr>
            <w:r>
              <w:rPr>
                <w:color w:val="auto"/>
              </w:rPr>
              <w:t>多层</w:t>
            </w:r>
            <w:r>
              <w:rPr>
                <w:rFonts w:hint="eastAsia"/>
                <w:color w:val="auto"/>
                <w:lang w:val="en-US" w:eastAsia="zh-CN"/>
              </w:rPr>
              <w:t>建筑</w:t>
            </w:r>
          </w:p>
        </w:tc>
        <w:tc>
          <w:tcPr>
            <w:tcW w:w="2237" w:type="pct"/>
            <w:noWrap w:val="0"/>
            <w:vAlign w:val="center"/>
          </w:tcPr>
          <w:p>
            <w:pPr>
              <w:pStyle w:val="24"/>
              <w:bidi w:val="0"/>
              <w:rPr>
                <w:rFonts w:hint="eastAsia" w:eastAsia="宋体"/>
                <w:color w:val="auto"/>
                <w:lang w:eastAsia="zh-CN"/>
              </w:rPr>
            </w:pPr>
            <w:r>
              <w:rPr>
                <w:color w:val="auto"/>
              </w:rPr>
              <w:t>单层</w:t>
            </w:r>
            <w:r>
              <w:rPr>
                <w:rFonts w:hint="eastAsia"/>
                <w:color w:val="auto"/>
                <w:lang w:val="en-US" w:eastAsia="zh-CN"/>
              </w:rPr>
              <w:t>建筑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76" w:type="pct"/>
            <w:noWrap w:val="0"/>
            <w:vAlign w:val="center"/>
          </w:tcPr>
          <w:p>
            <w:pPr>
              <w:pStyle w:val="24"/>
              <w:bidi w:val="0"/>
              <w:rPr>
                <w:rFonts w:hint="default"/>
                <w:color w:val="auto"/>
                <w:lang w:val="en-US" w:eastAsia="zh-CN"/>
              </w:rPr>
            </w:pPr>
            <w:r>
              <w:rPr>
                <w:rFonts w:hint="eastAsia"/>
                <w:color w:val="auto"/>
                <w:lang w:val="en-US" w:eastAsia="zh-CN"/>
              </w:rPr>
              <w:t>A</w:t>
            </w:r>
            <w:r>
              <w:rPr>
                <w:rFonts w:hint="eastAsia"/>
                <w:color w:val="auto"/>
                <w:vertAlign w:val="subscript"/>
                <w:lang w:val="en-US" w:eastAsia="zh-CN"/>
              </w:rPr>
              <w:t>u</w:t>
            </w:r>
          </w:p>
        </w:tc>
        <w:tc>
          <w:tcPr>
            <w:tcW w:w="2185" w:type="pct"/>
            <w:noWrap w:val="0"/>
            <w:vAlign w:val="center"/>
          </w:tcPr>
          <w:p>
            <w:pPr>
              <w:pStyle w:val="24"/>
              <w:bidi w:val="0"/>
              <w:jc w:val="left"/>
              <w:rPr>
                <w:color w:val="auto"/>
              </w:rPr>
            </w:pPr>
            <w:r>
              <w:rPr>
                <w:color w:val="auto"/>
              </w:rPr>
              <w:t>不含c</w:t>
            </w:r>
            <w:r>
              <w:rPr>
                <w:rFonts w:hint="eastAsia" w:hAnsi="Cambria Math" w:cs="宋体"/>
                <w:color w:val="auto"/>
                <w:kern w:val="0"/>
                <w:sz w:val="24"/>
                <w:szCs w:val="24"/>
                <w:vertAlign w:val="subscript"/>
                <w:lang w:val="en-US" w:eastAsia="zh-CN" w:bidi="ar"/>
              </w:rPr>
              <w:t>u</w:t>
            </w:r>
            <w:r>
              <w:rPr>
                <w:color w:val="auto"/>
              </w:rPr>
              <w:t>级构件</w:t>
            </w:r>
            <w:r>
              <w:rPr>
                <w:rFonts w:hint="eastAsia"/>
                <w:color w:val="auto"/>
                <w:lang w:eastAsia="zh-CN"/>
              </w:rPr>
              <w:t>，</w:t>
            </w:r>
            <w:r>
              <w:rPr>
                <w:color w:val="auto"/>
              </w:rPr>
              <w:t>可含b</w:t>
            </w:r>
            <w:r>
              <w:rPr>
                <w:rFonts w:hint="eastAsia" w:hAnsi="Cambria Math" w:cs="宋体"/>
                <w:color w:val="auto"/>
                <w:kern w:val="0"/>
                <w:sz w:val="24"/>
                <w:szCs w:val="24"/>
                <w:vertAlign w:val="subscript"/>
                <w:lang w:val="en-US" w:eastAsia="zh-CN" w:bidi="ar"/>
              </w:rPr>
              <w:t>u</w:t>
            </w:r>
            <w:r>
              <w:rPr>
                <w:color w:val="auto"/>
              </w:rPr>
              <w:t>级构件</w:t>
            </w:r>
            <w:r>
              <w:rPr>
                <w:rFonts w:hint="eastAsia"/>
                <w:color w:val="auto"/>
                <w:lang w:eastAsia="zh-CN"/>
              </w:rPr>
              <w:t>，</w:t>
            </w:r>
            <w:r>
              <w:rPr>
                <w:color w:val="auto"/>
              </w:rPr>
              <w:t>但含量不多于</w:t>
            </w:r>
            <w:r>
              <w:rPr>
                <w:rFonts w:hint="eastAsia"/>
                <w:color w:val="auto"/>
                <w:lang w:val="en-US" w:eastAsia="zh-CN"/>
              </w:rPr>
              <w:t>10</w:t>
            </w:r>
            <w:r>
              <w:rPr>
                <w:color w:val="auto"/>
              </w:rPr>
              <w:t>%</w:t>
            </w:r>
          </w:p>
        </w:tc>
        <w:tc>
          <w:tcPr>
            <w:tcW w:w="2237" w:type="pct"/>
            <w:noWrap w:val="0"/>
            <w:vAlign w:val="center"/>
          </w:tcPr>
          <w:p>
            <w:pPr>
              <w:pStyle w:val="24"/>
              <w:bidi w:val="0"/>
              <w:jc w:val="left"/>
              <w:rPr>
                <w:color w:val="auto"/>
              </w:rPr>
            </w:pPr>
            <w:r>
              <w:rPr>
                <w:color w:val="auto"/>
              </w:rPr>
              <w:t>不含c</w:t>
            </w:r>
            <w:r>
              <w:rPr>
                <w:rFonts w:hint="eastAsia" w:hAnsi="Cambria Math" w:cs="宋体"/>
                <w:color w:val="auto"/>
                <w:kern w:val="0"/>
                <w:sz w:val="24"/>
                <w:szCs w:val="24"/>
                <w:vertAlign w:val="subscript"/>
                <w:lang w:val="en-US" w:eastAsia="zh-CN" w:bidi="ar"/>
              </w:rPr>
              <w:t>u</w:t>
            </w:r>
            <w:r>
              <w:rPr>
                <w:color w:val="auto"/>
              </w:rPr>
              <w:t>级构件</w:t>
            </w:r>
            <w:r>
              <w:rPr>
                <w:rFonts w:hint="eastAsia"/>
                <w:color w:val="auto"/>
                <w:lang w:eastAsia="zh-CN"/>
              </w:rPr>
              <w:t>，</w:t>
            </w:r>
            <w:r>
              <w:rPr>
                <w:color w:val="auto"/>
              </w:rPr>
              <w:t>可含b</w:t>
            </w:r>
            <w:r>
              <w:rPr>
                <w:rFonts w:hint="eastAsia" w:hAnsi="Cambria Math" w:cs="宋体"/>
                <w:color w:val="auto"/>
                <w:kern w:val="0"/>
                <w:sz w:val="24"/>
                <w:szCs w:val="24"/>
                <w:vertAlign w:val="subscript"/>
                <w:lang w:val="en-US" w:eastAsia="zh-CN" w:bidi="ar"/>
              </w:rPr>
              <w:t>u</w:t>
            </w:r>
            <w:r>
              <w:rPr>
                <w:color w:val="auto"/>
              </w:rPr>
              <w:t>级构件</w:t>
            </w:r>
            <w:r>
              <w:rPr>
                <w:rFonts w:hint="eastAsia"/>
                <w:color w:val="auto"/>
                <w:lang w:eastAsia="zh-CN"/>
              </w:rPr>
              <w:t>，</w:t>
            </w:r>
            <w:r>
              <w:rPr>
                <w:color w:val="auto"/>
              </w:rPr>
              <w:t>但含量不多于</w:t>
            </w:r>
            <w:r>
              <w:rPr>
                <w:rFonts w:hint="eastAsia"/>
                <w:color w:val="auto"/>
                <w:lang w:val="en-US" w:eastAsia="zh-CN"/>
              </w:rPr>
              <w:t>15</w:t>
            </w:r>
            <w:r>
              <w:rPr>
                <w:color w:val="auto"/>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76" w:type="pct"/>
            <w:noWrap w:val="0"/>
            <w:vAlign w:val="center"/>
          </w:tcPr>
          <w:p>
            <w:pPr>
              <w:pStyle w:val="24"/>
              <w:bidi w:val="0"/>
              <w:rPr>
                <w:rFonts w:hint="default" w:eastAsia="宋体"/>
                <w:color w:val="auto"/>
                <w:lang w:val="en-US" w:eastAsia="zh-CN"/>
              </w:rPr>
            </w:pPr>
            <w:r>
              <w:rPr>
                <w:rFonts w:hint="eastAsia"/>
                <w:color w:val="auto"/>
                <w:lang w:val="en-US" w:eastAsia="zh-CN"/>
              </w:rPr>
              <w:t>B</w:t>
            </w:r>
            <w:r>
              <w:rPr>
                <w:rFonts w:hint="eastAsia"/>
                <w:color w:val="auto"/>
                <w:vertAlign w:val="subscript"/>
                <w:lang w:val="en-US" w:eastAsia="zh-CN"/>
              </w:rPr>
              <w:t>u</w:t>
            </w:r>
          </w:p>
        </w:tc>
        <w:tc>
          <w:tcPr>
            <w:tcW w:w="2185" w:type="pct"/>
            <w:noWrap w:val="0"/>
            <w:vAlign w:val="center"/>
          </w:tcPr>
          <w:p>
            <w:pPr>
              <w:pStyle w:val="24"/>
              <w:bidi w:val="0"/>
              <w:jc w:val="left"/>
              <w:rPr>
                <w:rFonts w:hint="default"/>
                <w:color w:val="auto"/>
                <w:lang w:val="en-US" w:eastAsia="zh-CN"/>
              </w:rPr>
            </w:pPr>
            <w:r>
              <w:rPr>
                <w:color w:val="auto"/>
              </w:rPr>
              <w:t>c</w:t>
            </w:r>
            <w:r>
              <w:rPr>
                <w:rFonts w:hint="eastAsia" w:hAnsi="Cambria Math" w:cs="宋体"/>
                <w:color w:val="auto"/>
                <w:kern w:val="0"/>
                <w:sz w:val="24"/>
                <w:szCs w:val="24"/>
                <w:vertAlign w:val="subscript"/>
                <w:lang w:val="en-US" w:eastAsia="zh-CN" w:bidi="ar"/>
              </w:rPr>
              <w:t>u</w:t>
            </w:r>
            <w:r>
              <w:rPr>
                <w:color w:val="auto"/>
              </w:rPr>
              <w:t>级构件含量不多于</w:t>
            </w:r>
            <w:r>
              <w:rPr>
                <w:rFonts w:hint="eastAsia"/>
                <w:color w:val="auto"/>
                <w:lang w:val="en-US" w:eastAsia="zh-CN"/>
              </w:rPr>
              <w:t>3</w:t>
            </w:r>
            <w:r>
              <w:rPr>
                <w:color w:val="auto"/>
              </w:rPr>
              <w:t>%</w:t>
            </w:r>
          </w:p>
        </w:tc>
        <w:tc>
          <w:tcPr>
            <w:tcW w:w="2237" w:type="pct"/>
            <w:noWrap w:val="0"/>
            <w:vAlign w:val="center"/>
          </w:tcPr>
          <w:p>
            <w:pPr>
              <w:pStyle w:val="24"/>
              <w:bidi w:val="0"/>
              <w:jc w:val="left"/>
              <w:rPr>
                <w:rFonts w:hint="eastAsia"/>
                <w:color w:val="auto"/>
                <w:lang w:eastAsia="zh-CN"/>
              </w:rPr>
            </w:pPr>
            <w:r>
              <w:rPr>
                <w:color w:val="auto"/>
              </w:rPr>
              <w:t>c</w:t>
            </w:r>
            <w:r>
              <w:rPr>
                <w:rFonts w:hint="eastAsia" w:hAnsi="Cambria Math" w:cs="宋体"/>
                <w:color w:val="auto"/>
                <w:kern w:val="0"/>
                <w:sz w:val="24"/>
                <w:szCs w:val="24"/>
                <w:vertAlign w:val="subscript"/>
                <w:lang w:val="en-US" w:eastAsia="zh-CN" w:bidi="ar"/>
              </w:rPr>
              <w:t>u</w:t>
            </w:r>
            <w:r>
              <w:rPr>
                <w:color w:val="auto"/>
              </w:rPr>
              <w:t>级构件含量不应多于</w:t>
            </w:r>
            <w:r>
              <w:rPr>
                <w:rFonts w:hint="eastAsia"/>
                <w:color w:val="auto"/>
                <w:lang w:val="en-US" w:eastAsia="zh-CN"/>
              </w:rPr>
              <w:t>5</w:t>
            </w:r>
            <w:r>
              <w:rPr>
                <w:color w:val="auto"/>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76" w:type="pct"/>
            <w:noWrap w:val="0"/>
            <w:vAlign w:val="center"/>
          </w:tcPr>
          <w:p>
            <w:pPr>
              <w:pStyle w:val="24"/>
              <w:bidi w:val="0"/>
              <w:rPr>
                <w:rFonts w:hint="default"/>
                <w:color w:val="auto"/>
                <w:lang w:val="en-US" w:eastAsia="zh-CN"/>
              </w:rPr>
            </w:pPr>
            <w:r>
              <w:rPr>
                <w:rFonts w:hint="eastAsia"/>
                <w:color w:val="auto"/>
                <w:lang w:val="en-US" w:eastAsia="zh-CN"/>
              </w:rPr>
              <w:t>C</w:t>
            </w:r>
            <w:r>
              <w:rPr>
                <w:rFonts w:hint="eastAsia"/>
                <w:color w:val="auto"/>
                <w:vertAlign w:val="subscript"/>
                <w:lang w:val="en-US" w:eastAsia="zh-CN"/>
              </w:rPr>
              <w:t>u</w:t>
            </w:r>
          </w:p>
        </w:tc>
        <w:tc>
          <w:tcPr>
            <w:tcW w:w="2185" w:type="pct"/>
            <w:noWrap w:val="0"/>
            <w:vAlign w:val="center"/>
          </w:tcPr>
          <w:p>
            <w:pPr>
              <w:pStyle w:val="24"/>
              <w:bidi w:val="0"/>
              <w:jc w:val="left"/>
              <w:rPr>
                <w:color w:val="auto"/>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color w:val="auto"/>
              </w:rPr>
              <w:t>级构件含量</w:t>
            </w:r>
            <w:r>
              <w:rPr>
                <w:rFonts w:hint="eastAsia"/>
                <w:color w:val="auto"/>
                <w:lang w:val="en-US" w:eastAsia="zh-CN"/>
              </w:rPr>
              <w:t>大</w:t>
            </w:r>
            <w:r>
              <w:rPr>
                <w:color w:val="auto"/>
              </w:rPr>
              <w:t>于</w:t>
            </w:r>
            <w:r>
              <w:rPr>
                <w:rFonts w:hint="eastAsia"/>
                <w:color w:val="auto"/>
                <w:lang w:val="en-US" w:eastAsia="zh-CN"/>
              </w:rPr>
              <w:t>B</w:t>
            </w:r>
            <w:r>
              <w:rPr>
                <w:rFonts w:hint="eastAsia"/>
                <w:color w:val="auto"/>
                <w:vertAlign w:val="subscript"/>
                <w:lang w:val="en-US" w:eastAsia="zh-CN"/>
              </w:rPr>
              <w:t>u</w:t>
            </w:r>
            <w:r>
              <w:rPr>
                <w:color w:val="auto"/>
              </w:rPr>
              <w:t>级的规定</w:t>
            </w:r>
          </w:p>
        </w:tc>
        <w:tc>
          <w:tcPr>
            <w:tcW w:w="2237" w:type="pct"/>
            <w:noWrap w:val="0"/>
            <w:vAlign w:val="center"/>
          </w:tcPr>
          <w:p>
            <w:pPr>
              <w:pStyle w:val="24"/>
              <w:bidi w:val="0"/>
              <w:jc w:val="left"/>
              <w:rPr>
                <w:color w:val="auto"/>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color w:val="auto"/>
              </w:rPr>
              <w:t>级构件含量</w:t>
            </w:r>
            <w:r>
              <w:rPr>
                <w:rFonts w:hint="eastAsia"/>
                <w:color w:val="auto"/>
                <w:lang w:val="en-US" w:eastAsia="zh-CN"/>
              </w:rPr>
              <w:t>大</w:t>
            </w:r>
            <w:r>
              <w:rPr>
                <w:color w:val="auto"/>
              </w:rPr>
              <w:t>于</w:t>
            </w:r>
            <w:r>
              <w:rPr>
                <w:rFonts w:hint="eastAsia"/>
                <w:color w:val="auto"/>
                <w:lang w:val="en-US" w:eastAsia="zh-CN"/>
              </w:rPr>
              <w:t>B</w:t>
            </w:r>
            <w:r>
              <w:rPr>
                <w:rFonts w:hint="eastAsia"/>
                <w:color w:val="auto"/>
                <w:vertAlign w:val="subscript"/>
                <w:lang w:val="en-US" w:eastAsia="zh-CN"/>
              </w:rPr>
              <w:t>u</w:t>
            </w:r>
            <w:r>
              <w:rPr>
                <w:color w:val="auto"/>
              </w:rPr>
              <w:t>级规定</w:t>
            </w:r>
          </w:p>
        </w:tc>
      </w:tr>
    </w:tbl>
    <w:p>
      <w:pPr>
        <w:pStyle w:val="28"/>
        <w:bidi w:val="0"/>
        <w:rPr>
          <w:rFonts w:hint="eastAsia"/>
          <w:color w:val="auto"/>
        </w:rPr>
      </w:pPr>
      <w:r>
        <w:rPr>
          <w:rFonts w:hint="eastAsia"/>
          <w:color w:val="auto"/>
        </w:rPr>
        <w:t>注：当计算的构件数为非整数时</w:t>
      </w:r>
      <w:r>
        <w:rPr>
          <w:rFonts w:hint="eastAsia"/>
          <w:color w:val="auto"/>
          <w:lang w:eastAsia="zh-CN"/>
        </w:rPr>
        <w:t>，</w:t>
      </w:r>
      <w:r>
        <w:rPr>
          <w:rFonts w:hint="eastAsia"/>
          <w:color w:val="auto"/>
        </w:rPr>
        <w:t>应多取一根。</w:t>
      </w:r>
    </w:p>
    <w:p>
      <w:pPr>
        <w:pStyle w:val="26"/>
        <w:bidi w:val="0"/>
        <w:rPr>
          <w:rFonts w:hint="default" w:eastAsia="仿宋"/>
          <w:color w:val="auto"/>
          <w:lang w:val="en-US" w:eastAsia="zh-CN"/>
        </w:rPr>
      </w:pPr>
      <w:r>
        <w:rPr>
          <w:rFonts w:hint="eastAsia"/>
          <w:color w:val="auto"/>
        </w:rPr>
        <w:t>【条文说明】</w:t>
      </w:r>
      <w:r>
        <w:rPr>
          <w:rFonts w:hint="eastAsia"/>
          <w:color w:val="auto"/>
          <w:lang w:val="en-US" w:eastAsia="zh-CN"/>
        </w:rPr>
        <w:t>主要构件包括承重墙、柱、主梁、屋架等构件，构件数量统计时，构件总数是指楼层所有类型主要构件数量的总和。</w:t>
      </w:r>
    </w:p>
    <w:p>
      <w:pPr>
        <w:pStyle w:val="5"/>
        <w:bidi w:val="0"/>
        <w:ind w:left="0" w:leftChars="0" w:firstLine="0" w:firstLineChars="0"/>
        <w:rPr>
          <w:rFonts w:hint="eastAsia"/>
          <w:color w:val="auto"/>
        </w:rPr>
      </w:pPr>
      <w:bookmarkStart w:id="67" w:name="_Ref24255"/>
      <w:r>
        <w:rPr>
          <w:rFonts w:hint="eastAsia"/>
          <w:color w:val="auto"/>
          <w:lang w:val="en-US" w:eastAsia="zh-CN"/>
        </w:rPr>
        <w:t>楼层</w:t>
      </w:r>
      <w:r>
        <w:rPr>
          <w:rFonts w:hint="eastAsia"/>
          <w:color w:val="auto"/>
        </w:rPr>
        <w:t>安全性等级</w:t>
      </w:r>
      <w:r>
        <w:rPr>
          <w:rFonts w:hint="eastAsia"/>
          <w:color w:val="auto"/>
          <w:lang w:val="en-US" w:eastAsia="zh-CN"/>
        </w:rPr>
        <w:t>按一般构件进行</w:t>
      </w:r>
      <w:r>
        <w:rPr>
          <w:rFonts w:hint="eastAsia"/>
          <w:color w:val="auto"/>
        </w:rPr>
        <w:t>评</w:t>
      </w:r>
      <w:r>
        <w:rPr>
          <w:rFonts w:hint="eastAsia"/>
          <w:color w:val="auto"/>
          <w:lang w:val="en-US" w:eastAsia="zh-CN"/>
        </w:rPr>
        <w:t>级</w:t>
      </w:r>
      <w:r>
        <w:rPr>
          <w:rFonts w:hint="eastAsia"/>
          <w:color w:val="auto"/>
          <w:lang w:eastAsia="zh-CN"/>
        </w:rPr>
        <w:t>，</w:t>
      </w:r>
      <w:r>
        <w:rPr>
          <w:rFonts w:hint="eastAsia"/>
          <w:color w:val="auto"/>
          <w:lang w:val="en-US" w:eastAsia="zh-CN"/>
        </w:rPr>
        <w:t>应</w:t>
      </w:r>
      <w:r>
        <w:rPr>
          <w:rFonts w:hint="eastAsia"/>
          <w:color w:val="auto"/>
        </w:rPr>
        <w:t>根据</w:t>
      </w:r>
      <w:r>
        <w:rPr>
          <w:rFonts w:hint="eastAsia"/>
          <w:color w:val="auto"/>
          <w:lang w:val="en-US" w:eastAsia="zh-CN"/>
        </w:rPr>
        <w:t>楼层中</w:t>
      </w:r>
      <w:r>
        <w:rPr>
          <w:rFonts w:hint="eastAsia"/>
          <w:color w:val="auto"/>
        </w:rPr>
        <w:t>每一受检构件的评</w:t>
      </w:r>
      <w:r>
        <w:rPr>
          <w:rFonts w:hint="eastAsia"/>
          <w:color w:val="auto"/>
          <w:lang w:val="en-US" w:eastAsia="zh-CN"/>
        </w:rPr>
        <w:t>级</w:t>
      </w:r>
      <w:r>
        <w:rPr>
          <w:rFonts w:hint="eastAsia"/>
          <w:color w:val="auto"/>
        </w:rPr>
        <w:t>结果</w:t>
      </w:r>
      <w:r>
        <w:rPr>
          <w:rFonts w:hint="eastAsia"/>
          <w:color w:val="auto"/>
          <w:lang w:eastAsia="zh-CN"/>
        </w:rPr>
        <w:t>，</w:t>
      </w:r>
      <w:r>
        <w:rPr>
          <w:rFonts w:hint="eastAsia"/>
          <w:color w:val="auto"/>
        </w:rPr>
        <w:t>按表</w:t>
      </w:r>
      <w:r>
        <w:rPr>
          <w:rFonts w:hint="eastAsia"/>
          <w:color w:val="auto"/>
          <w:lang w:eastAsia="zh-CN"/>
        </w:rPr>
        <w:fldChar w:fldCharType="begin"/>
      </w:r>
      <w:r>
        <w:rPr>
          <w:rFonts w:hint="eastAsia"/>
          <w:color w:val="auto"/>
          <w:lang w:eastAsia="zh-CN"/>
        </w:rPr>
        <w:instrText xml:space="preserve"> REF _Ref24255 \n \h </w:instrText>
      </w:r>
      <w:r>
        <w:rPr>
          <w:rFonts w:hint="eastAsia"/>
          <w:color w:val="auto"/>
          <w:lang w:eastAsia="zh-CN"/>
        </w:rPr>
        <w:fldChar w:fldCharType="separate"/>
      </w:r>
      <w:r>
        <w:rPr>
          <w:rFonts w:hint="eastAsia"/>
          <w:color w:val="auto"/>
          <w:lang w:eastAsia="zh-CN"/>
        </w:rPr>
        <w:t>7.2.17</w:t>
      </w:r>
      <w:r>
        <w:rPr>
          <w:rFonts w:hint="eastAsia"/>
          <w:color w:val="auto"/>
          <w:lang w:eastAsia="zh-CN"/>
        </w:rPr>
        <w:fldChar w:fldCharType="end"/>
      </w:r>
      <w:r>
        <w:rPr>
          <w:rFonts w:hint="eastAsia"/>
          <w:color w:val="auto"/>
        </w:rPr>
        <w:t>的</w:t>
      </w:r>
      <w:r>
        <w:rPr>
          <w:rFonts w:hint="eastAsia"/>
          <w:color w:val="auto"/>
          <w:lang w:val="en-US" w:eastAsia="zh-CN"/>
        </w:rPr>
        <w:t>规定</w:t>
      </w:r>
      <w:r>
        <w:rPr>
          <w:rFonts w:hint="eastAsia"/>
          <w:color w:val="auto"/>
        </w:rPr>
        <w:t>评级。</w:t>
      </w:r>
      <w:bookmarkEnd w:id="67"/>
    </w:p>
    <w:p>
      <w:pPr>
        <w:pStyle w:val="25"/>
        <w:bidi w:val="0"/>
        <w:rPr>
          <w:rFonts w:hint="eastAsia"/>
          <w:color w:val="auto"/>
          <w:lang w:eastAsia="zh-CN"/>
        </w:rPr>
      </w:pPr>
      <w:r>
        <w:rPr>
          <w:rFonts w:hint="eastAsia"/>
          <w:color w:val="auto"/>
        </w:rPr>
        <w:t>表</w:t>
      </w:r>
      <w:r>
        <w:rPr>
          <w:rFonts w:hint="eastAsia"/>
          <w:color w:val="auto"/>
          <w:lang w:eastAsia="zh-CN"/>
        </w:rPr>
        <w:fldChar w:fldCharType="begin"/>
      </w:r>
      <w:r>
        <w:rPr>
          <w:rFonts w:hint="eastAsia"/>
          <w:color w:val="auto"/>
          <w:lang w:eastAsia="zh-CN"/>
        </w:rPr>
        <w:instrText xml:space="preserve"> REF _Ref24255 \n \h </w:instrText>
      </w:r>
      <w:r>
        <w:rPr>
          <w:rFonts w:hint="eastAsia"/>
          <w:color w:val="auto"/>
          <w:lang w:eastAsia="zh-CN"/>
        </w:rPr>
        <w:fldChar w:fldCharType="separate"/>
      </w:r>
      <w:r>
        <w:rPr>
          <w:rFonts w:hint="eastAsia"/>
          <w:color w:val="auto"/>
          <w:lang w:eastAsia="zh-CN"/>
        </w:rPr>
        <w:t>7.2.17</w:t>
      </w:r>
      <w:r>
        <w:rPr>
          <w:rFonts w:hint="eastAsia"/>
          <w:color w:val="auto"/>
          <w:lang w:eastAsia="zh-CN"/>
        </w:rPr>
        <w:fldChar w:fldCharType="end"/>
      </w:r>
      <w:r>
        <w:rPr>
          <w:rFonts w:hint="eastAsia"/>
          <w:color w:val="auto"/>
          <w:lang w:val="en-US" w:eastAsia="zh-CN"/>
        </w:rPr>
        <w:t xml:space="preserve"> 楼层安全性按</w:t>
      </w:r>
      <w:r>
        <w:rPr>
          <w:rFonts w:hint="eastAsia"/>
          <w:color w:val="auto"/>
        </w:rPr>
        <w:t>一般构件评</w:t>
      </w:r>
      <w:r>
        <w:rPr>
          <w:rFonts w:hint="eastAsia"/>
          <w:color w:val="auto"/>
          <w:lang w:val="en-US" w:eastAsia="zh-CN"/>
        </w:rPr>
        <w:t>级</w:t>
      </w:r>
    </w:p>
    <w:tbl>
      <w:tblPr>
        <w:tblStyle w:val="27"/>
        <w:tblpPr w:leftFromText="180" w:rightFromText="180" w:vertAnchor="text" w:horzAnchor="page" w:tblpX="1864" w:tblpY="100"/>
        <w:tblOverlap w:val="never"/>
        <w:tblW w:w="497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54"/>
        <w:gridCol w:w="3619"/>
        <w:gridCol w:w="370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576" w:type="pct"/>
            <w:noWrap w:val="0"/>
            <w:vAlign w:val="center"/>
          </w:tcPr>
          <w:p>
            <w:pPr>
              <w:pStyle w:val="24"/>
              <w:bidi w:val="0"/>
              <w:rPr>
                <w:color w:val="auto"/>
              </w:rPr>
            </w:pPr>
            <w:r>
              <w:rPr>
                <w:color w:val="auto"/>
              </w:rPr>
              <w:t>等级</w:t>
            </w:r>
          </w:p>
        </w:tc>
        <w:tc>
          <w:tcPr>
            <w:tcW w:w="2185" w:type="pct"/>
            <w:noWrap w:val="0"/>
            <w:vAlign w:val="center"/>
          </w:tcPr>
          <w:p>
            <w:pPr>
              <w:pStyle w:val="24"/>
              <w:bidi w:val="0"/>
              <w:rPr>
                <w:rFonts w:hint="eastAsia" w:eastAsia="宋体"/>
                <w:color w:val="auto"/>
                <w:lang w:eastAsia="zh-CN"/>
              </w:rPr>
            </w:pPr>
            <w:r>
              <w:rPr>
                <w:color w:val="auto"/>
              </w:rPr>
              <w:t>多层</w:t>
            </w:r>
            <w:r>
              <w:rPr>
                <w:rFonts w:hint="eastAsia"/>
                <w:color w:val="auto"/>
                <w:lang w:eastAsia="zh-CN"/>
              </w:rPr>
              <w:t>建筑</w:t>
            </w:r>
          </w:p>
        </w:tc>
        <w:tc>
          <w:tcPr>
            <w:tcW w:w="2237" w:type="pct"/>
            <w:noWrap w:val="0"/>
            <w:vAlign w:val="center"/>
          </w:tcPr>
          <w:p>
            <w:pPr>
              <w:pStyle w:val="24"/>
              <w:bidi w:val="0"/>
              <w:rPr>
                <w:rFonts w:hint="eastAsia" w:eastAsia="宋体"/>
                <w:color w:val="auto"/>
                <w:lang w:eastAsia="zh-CN"/>
              </w:rPr>
            </w:pPr>
            <w:r>
              <w:rPr>
                <w:color w:val="auto"/>
              </w:rPr>
              <w:t>单层</w:t>
            </w:r>
            <w:r>
              <w:rPr>
                <w:rFonts w:hint="eastAsia"/>
                <w:color w:val="auto"/>
                <w:lang w:eastAsia="zh-CN"/>
              </w:rPr>
              <w:t>建筑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54" w:type="dxa"/>
            <w:noWrap w:val="0"/>
            <w:vAlign w:val="center"/>
          </w:tcPr>
          <w:p>
            <w:pPr>
              <w:pStyle w:val="24"/>
              <w:bidi w:val="0"/>
              <w:ind w:firstLine="0" w:firstLineChars="0"/>
              <w:rPr>
                <w:rFonts w:hint="eastAsia"/>
                <w:color w:val="auto"/>
                <w:lang w:val="en-US" w:eastAsia="zh-CN"/>
              </w:rPr>
            </w:pPr>
            <w:r>
              <w:rPr>
                <w:rFonts w:hint="eastAsia"/>
                <w:color w:val="auto"/>
                <w:lang w:val="en-US" w:eastAsia="zh-CN"/>
              </w:rPr>
              <w:t>A</w:t>
            </w:r>
            <w:r>
              <w:rPr>
                <w:rFonts w:hint="eastAsia"/>
                <w:color w:val="auto"/>
                <w:vertAlign w:val="subscript"/>
                <w:lang w:val="en-US" w:eastAsia="zh-CN"/>
              </w:rPr>
              <w:t>u</w:t>
            </w:r>
          </w:p>
        </w:tc>
        <w:tc>
          <w:tcPr>
            <w:tcW w:w="2185" w:type="pct"/>
            <w:noWrap w:val="0"/>
            <w:vAlign w:val="center"/>
          </w:tcPr>
          <w:p>
            <w:pPr>
              <w:pStyle w:val="24"/>
              <w:bidi w:val="0"/>
              <w:jc w:val="left"/>
              <w:rPr>
                <w:rFonts w:hint="eastAsia"/>
                <w:color w:val="auto"/>
                <w:lang w:eastAsia="zh-CN"/>
              </w:rPr>
            </w:pPr>
            <w:r>
              <w:rPr>
                <w:rFonts w:hint="eastAsia"/>
                <w:color w:val="auto"/>
                <w:lang w:eastAsia="zh-CN"/>
              </w:rPr>
              <w:t>不含c</w:t>
            </w:r>
            <w:r>
              <w:rPr>
                <w:rFonts w:hint="eastAsia" w:hAnsi="Cambria Math" w:cs="宋体"/>
                <w:color w:val="auto"/>
                <w:kern w:val="0"/>
                <w:sz w:val="24"/>
                <w:szCs w:val="24"/>
                <w:vertAlign w:val="subscript"/>
                <w:lang w:val="en-US" w:eastAsia="zh-CN" w:bidi="ar"/>
              </w:rPr>
              <w:t>u</w:t>
            </w:r>
            <w:r>
              <w:rPr>
                <w:rFonts w:hint="eastAsia"/>
                <w:color w:val="auto"/>
                <w:lang w:eastAsia="zh-CN"/>
              </w:rPr>
              <w:t>级构件，可含b</w:t>
            </w:r>
            <w:r>
              <w:rPr>
                <w:rFonts w:hint="eastAsia" w:hAnsi="Cambria Math" w:cs="宋体"/>
                <w:color w:val="auto"/>
                <w:kern w:val="0"/>
                <w:sz w:val="24"/>
                <w:szCs w:val="24"/>
                <w:vertAlign w:val="subscript"/>
                <w:lang w:val="en-US" w:eastAsia="zh-CN" w:bidi="ar"/>
              </w:rPr>
              <w:t>u</w:t>
            </w:r>
            <w:r>
              <w:rPr>
                <w:rFonts w:hint="eastAsia"/>
                <w:color w:val="auto"/>
                <w:lang w:eastAsia="zh-CN"/>
              </w:rPr>
              <w:t>级构件，但含量不多于</w:t>
            </w:r>
            <w:r>
              <w:rPr>
                <w:rFonts w:hint="eastAsia"/>
                <w:color w:val="auto"/>
                <w:lang w:val="en-US" w:eastAsia="zh-CN"/>
              </w:rPr>
              <w:t>30</w:t>
            </w:r>
            <w:r>
              <w:rPr>
                <w:rFonts w:hint="eastAsia"/>
                <w:color w:val="auto"/>
                <w:lang w:eastAsia="zh-CN"/>
              </w:rPr>
              <w:t>%</w:t>
            </w:r>
          </w:p>
        </w:tc>
        <w:tc>
          <w:tcPr>
            <w:tcW w:w="2237" w:type="pct"/>
            <w:noWrap w:val="0"/>
            <w:vAlign w:val="center"/>
          </w:tcPr>
          <w:p>
            <w:pPr>
              <w:pStyle w:val="24"/>
              <w:bidi w:val="0"/>
              <w:jc w:val="left"/>
              <w:rPr>
                <w:rFonts w:hint="eastAsia"/>
                <w:color w:val="auto"/>
                <w:lang w:eastAsia="zh-CN"/>
              </w:rPr>
            </w:pPr>
            <w:r>
              <w:rPr>
                <w:rFonts w:hint="eastAsia"/>
                <w:color w:val="auto"/>
                <w:lang w:eastAsia="zh-CN"/>
              </w:rPr>
              <w:t>不含c</w:t>
            </w:r>
            <w:r>
              <w:rPr>
                <w:rFonts w:hint="eastAsia" w:hAnsi="Cambria Math" w:cs="宋体"/>
                <w:color w:val="auto"/>
                <w:kern w:val="0"/>
                <w:sz w:val="24"/>
                <w:szCs w:val="24"/>
                <w:vertAlign w:val="subscript"/>
                <w:lang w:val="en-US" w:eastAsia="zh-CN" w:bidi="ar"/>
              </w:rPr>
              <w:t>u</w:t>
            </w:r>
            <w:r>
              <w:rPr>
                <w:rFonts w:hint="eastAsia"/>
                <w:color w:val="auto"/>
                <w:lang w:eastAsia="zh-CN"/>
              </w:rPr>
              <w:t>级构件，可含b</w:t>
            </w:r>
            <w:r>
              <w:rPr>
                <w:rFonts w:hint="eastAsia" w:hAnsi="Cambria Math" w:cs="宋体"/>
                <w:color w:val="auto"/>
                <w:kern w:val="0"/>
                <w:sz w:val="24"/>
                <w:szCs w:val="24"/>
                <w:vertAlign w:val="subscript"/>
                <w:lang w:val="en-US" w:eastAsia="zh-CN" w:bidi="ar"/>
              </w:rPr>
              <w:t>u</w:t>
            </w:r>
            <w:r>
              <w:rPr>
                <w:rFonts w:hint="eastAsia"/>
                <w:color w:val="auto"/>
                <w:lang w:eastAsia="zh-CN"/>
              </w:rPr>
              <w:t>级构件，但含量不多于3</w:t>
            </w:r>
            <w:r>
              <w:rPr>
                <w:rFonts w:hint="eastAsia"/>
                <w:color w:val="auto"/>
                <w:lang w:val="en-US" w:eastAsia="zh-CN"/>
              </w:rPr>
              <w:t>5</w:t>
            </w:r>
            <w:r>
              <w:rPr>
                <w:rFonts w:hint="eastAsia"/>
                <w:color w:val="auto"/>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54" w:type="dxa"/>
            <w:noWrap w:val="0"/>
            <w:vAlign w:val="center"/>
          </w:tcPr>
          <w:p>
            <w:pPr>
              <w:pStyle w:val="24"/>
              <w:bidi w:val="0"/>
              <w:ind w:firstLine="0" w:firstLineChars="0"/>
              <w:rPr>
                <w:color w:val="auto"/>
              </w:rPr>
            </w:pPr>
            <w:r>
              <w:rPr>
                <w:rFonts w:hint="eastAsia"/>
                <w:color w:val="auto"/>
                <w:lang w:val="en-US" w:eastAsia="zh-CN"/>
              </w:rPr>
              <w:t>B</w:t>
            </w:r>
            <w:r>
              <w:rPr>
                <w:rFonts w:hint="eastAsia"/>
                <w:color w:val="auto"/>
                <w:vertAlign w:val="subscript"/>
                <w:lang w:val="en-US" w:eastAsia="zh-CN"/>
              </w:rPr>
              <w:t>u</w:t>
            </w:r>
          </w:p>
        </w:tc>
        <w:tc>
          <w:tcPr>
            <w:tcW w:w="2185" w:type="pct"/>
            <w:noWrap w:val="0"/>
            <w:vAlign w:val="center"/>
          </w:tcPr>
          <w:p>
            <w:pPr>
              <w:pStyle w:val="24"/>
              <w:bidi w:val="0"/>
              <w:jc w:val="left"/>
              <w:rPr>
                <w:rFonts w:hint="eastAsia"/>
                <w:color w:val="auto"/>
                <w:lang w:eastAsia="zh-CN"/>
              </w:rPr>
            </w:pPr>
            <w:r>
              <w:rPr>
                <w:rFonts w:hint="eastAsia"/>
                <w:color w:val="auto"/>
                <w:lang w:eastAsia="zh-CN"/>
              </w:rPr>
              <w:t>c</w:t>
            </w:r>
            <w:r>
              <w:rPr>
                <w:rFonts w:hint="eastAsia" w:hAnsi="Cambria Math" w:cs="宋体"/>
                <w:color w:val="auto"/>
                <w:kern w:val="0"/>
                <w:sz w:val="24"/>
                <w:szCs w:val="24"/>
                <w:vertAlign w:val="subscript"/>
                <w:lang w:val="en-US" w:eastAsia="zh-CN" w:bidi="ar"/>
              </w:rPr>
              <w:t>u</w:t>
            </w:r>
            <w:r>
              <w:rPr>
                <w:rFonts w:hint="eastAsia"/>
                <w:color w:val="auto"/>
                <w:lang w:eastAsia="zh-CN"/>
              </w:rPr>
              <w:t>级构件含量不多于</w:t>
            </w:r>
            <w:r>
              <w:rPr>
                <w:rFonts w:hint="eastAsia"/>
                <w:color w:val="auto"/>
                <w:lang w:val="en-US" w:eastAsia="zh-CN"/>
              </w:rPr>
              <w:t>10</w:t>
            </w:r>
            <w:r>
              <w:rPr>
                <w:rFonts w:hint="eastAsia"/>
                <w:color w:val="auto"/>
                <w:lang w:eastAsia="zh-CN"/>
              </w:rPr>
              <w:t>%</w:t>
            </w:r>
          </w:p>
        </w:tc>
        <w:tc>
          <w:tcPr>
            <w:tcW w:w="2237" w:type="pct"/>
            <w:noWrap w:val="0"/>
            <w:vAlign w:val="center"/>
          </w:tcPr>
          <w:p>
            <w:pPr>
              <w:pStyle w:val="24"/>
              <w:bidi w:val="0"/>
              <w:jc w:val="left"/>
              <w:rPr>
                <w:rFonts w:hint="eastAsia"/>
                <w:color w:val="auto"/>
                <w:lang w:eastAsia="zh-CN"/>
              </w:rPr>
            </w:pPr>
            <w:r>
              <w:rPr>
                <w:rFonts w:hint="eastAsia"/>
                <w:color w:val="auto"/>
                <w:lang w:eastAsia="zh-CN"/>
              </w:rPr>
              <w:t>c</w:t>
            </w:r>
            <w:r>
              <w:rPr>
                <w:rFonts w:hint="eastAsia" w:hAnsi="Cambria Math" w:cs="宋体"/>
                <w:color w:val="auto"/>
                <w:kern w:val="0"/>
                <w:sz w:val="24"/>
                <w:szCs w:val="24"/>
                <w:vertAlign w:val="subscript"/>
                <w:lang w:val="en-US" w:eastAsia="zh-CN" w:bidi="ar"/>
              </w:rPr>
              <w:t>u</w:t>
            </w:r>
            <w:r>
              <w:rPr>
                <w:rFonts w:hint="eastAsia"/>
                <w:color w:val="auto"/>
                <w:lang w:eastAsia="zh-CN"/>
              </w:rPr>
              <w:t>级构件含量不应多于</w:t>
            </w:r>
            <w:r>
              <w:rPr>
                <w:rFonts w:hint="eastAsia"/>
                <w:color w:val="auto"/>
                <w:lang w:val="en-US" w:eastAsia="zh-CN"/>
              </w:rPr>
              <w:t>15</w:t>
            </w:r>
            <w:r>
              <w:rPr>
                <w:rFonts w:hint="eastAsia"/>
                <w:color w:val="auto"/>
                <w:lang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954" w:type="dxa"/>
            <w:noWrap w:val="0"/>
            <w:vAlign w:val="center"/>
          </w:tcPr>
          <w:p>
            <w:pPr>
              <w:pStyle w:val="24"/>
              <w:bidi w:val="0"/>
              <w:ind w:firstLine="0" w:firstLineChars="0"/>
              <w:rPr>
                <w:rFonts w:hint="eastAsia"/>
                <w:color w:val="auto"/>
                <w:lang w:eastAsia="zh-CN"/>
              </w:rPr>
            </w:pPr>
            <w:r>
              <w:rPr>
                <w:rFonts w:hint="eastAsia"/>
                <w:color w:val="auto"/>
                <w:lang w:val="en-US" w:eastAsia="zh-CN"/>
              </w:rPr>
              <w:t>C</w:t>
            </w:r>
            <w:r>
              <w:rPr>
                <w:rFonts w:hint="eastAsia"/>
                <w:color w:val="auto"/>
                <w:vertAlign w:val="subscript"/>
                <w:lang w:val="en-US" w:eastAsia="zh-CN"/>
              </w:rPr>
              <w:t>u</w:t>
            </w:r>
          </w:p>
        </w:tc>
        <w:tc>
          <w:tcPr>
            <w:tcW w:w="2185" w:type="pct"/>
            <w:noWrap w:val="0"/>
            <w:vAlign w:val="center"/>
          </w:tcPr>
          <w:p>
            <w:pPr>
              <w:pStyle w:val="24"/>
              <w:bidi w:val="0"/>
              <w:jc w:val="left"/>
              <w:rPr>
                <w:rFonts w:hint="eastAsia"/>
                <w:color w:val="auto"/>
                <w:lang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eastAsia="zh-CN"/>
              </w:rPr>
              <w:t>级构件含量</w:t>
            </w:r>
            <w:r>
              <w:rPr>
                <w:rFonts w:hint="eastAsia"/>
                <w:color w:val="auto"/>
                <w:lang w:val="en-US" w:eastAsia="zh-CN"/>
              </w:rPr>
              <w:t>大</w:t>
            </w:r>
            <w:r>
              <w:rPr>
                <w:rFonts w:hint="eastAsia"/>
                <w:color w:val="auto"/>
                <w:lang w:eastAsia="zh-CN"/>
              </w:rPr>
              <w:t>于</w:t>
            </w:r>
            <w:r>
              <w:rPr>
                <w:rFonts w:hint="eastAsia"/>
                <w:color w:val="auto"/>
                <w:lang w:val="en-US" w:eastAsia="zh-CN"/>
              </w:rPr>
              <w:t>B</w:t>
            </w:r>
            <w:r>
              <w:rPr>
                <w:rFonts w:hint="eastAsia"/>
                <w:color w:val="auto"/>
                <w:vertAlign w:val="subscript"/>
                <w:lang w:val="en-US" w:eastAsia="zh-CN"/>
              </w:rPr>
              <w:t>u</w:t>
            </w:r>
            <w:r>
              <w:rPr>
                <w:rFonts w:hint="eastAsia"/>
                <w:color w:val="auto"/>
                <w:lang w:eastAsia="zh-CN"/>
              </w:rPr>
              <w:t>级的规定</w:t>
            </w:r>
          </w:p>
        </w:tc>
        <w:tc>
          <w:tcPr>
            <w:tcW w:w="2237" w:type="pct"/>
            <w:noWrap w:val="0"/>
            <w:vAlign w:val="center"/>
          </w:tcPr>
          <w:p>
            <w:pPr>
              <w:pStyle w:val="24"/>
              <w:bidi w:val="0"/>
              <w:jc w:val="left"/>
              <w:rPr>
                <w:rFonts w:hint="eastAsia"/>
                <w:color w:val="auto"/>
                <w:lang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eastAsia="zh-CN"/>
              </w:rPr>
              <w:t>级构件含量</w:t>
            </w:r>
            <w:r>
              <w:rPr>
                <w:rFonts w:hint="eastAsia"/>
                <w:color w:val="auto"/>
                <w:lang w:val="en-US" w:eastAsia="zh-CN"/>
              </w:rPr>
              <w:t>大</w:t>
            </w:r>
            <w:r>
              <w:rPr>
                <w:rFonts w:hint="eastAsia"/>
                <w:color w:val="auto"/>
                <w:lang w:eastAsia="zh-CN"/>
              </w:rPr>
              <w:t>于</w:t>
            </w:r>
            <w:r>
              <w:rPr>
                <w:rFonts w:hint="eastAsia"/>
                <w:color w:val="auto"/>
                <w:lang w:val="en-US" w:eastAsia="zh-CN"/>
              </w:rPr>
              <w:t>B</w:t>
            </w:r>
            <w:r>
              <w:rPr>
                <w:rFonts w:hint="eastAsia"/>
                <w:color w:val="auto"/>
                <w:vertAlign w:val="subscript"/>
                <w:lang w:val="en-US" w:eastAsia="zh-CN"/>
              </w:rPr>
              <w:t>u</w:t>
            </w:r>
            <w:r>
              <w:rPr>
                <w:rFonts w:hint="eastAsia"/>
                <w:color w:val="auto"/>
                <w:lang w:eastAsia="zh-CN"/>
              </w:rPr>
              <w:t>级规定</w:t>
            </w:r>
          </w:p>
        </w:tc>
      </w:tr>
    </w:tbl>
    <w:p>
      <w:pPr>
        <w:pStyle w:val="28"/>
        <w:bidi w:val="0"/>
        <w:rPr>
          <w:rFonts w:hint="eastAsia"/>
          <w:color w:val="auto"/>
        </w:rPr>
      </w:pPr>
      <w:r>
        <w:rPr>
          <w:rFonts w:hint="eastAsia"/>
          <w:color w:val="auto"/>
        </w:rPr>
        <w:t>注：当计算的构件数为非整数时</w:t>
      </w:r>
      <w:r>
        <w:rPr>
          <w:rFonts w:hint="eastAsia"/>
          <w:color w:val="auto"/>
          <w:lang w:eastAsia="zh-CN"/>
        </w:rPr>
        <w:t>，</w:t>
      </w:r>
      <w:r>
        <w:rPr>
          <w:rFonts w:hint="eastAsia"/>
          <w:color w:val="auto"/>
        </w:rPr>
        <w:t>应多取一根。</w:t>
      </w:r>
    </w:p>
    <w:p>
      <w:pPr>
        <w:pStyle w:val="26"/>
        <w:bidi w:val="0"/>
        <w:rPr>
          <w:rFonts w:hint="default" w:eastAsia="仿宋"/>
          <w:color w:val="auto"/>
          <w:lang w:val="en-US" w:eastAsia="zh-CN"/>
        </w:rPr>
      </w:pPr>
      <w:r>
        <w:rPr>
          <w:rFonts w:hint="eastAsia"/>
          <w:color w:val="auto"/>
        </w:rPr>
        <w:t>【条文说明】</w:t>
      </w:r>
      <w:r>
        <w:rPr>
          <w:rFonts w:hint="eastAsia"/>
          <w:color w:val="auto"/>
          <w:lang w:val="en-US" w:eastAsia="zh-CN"/>
        </w:rPr>
        <w:t>一般构件包括次梁、板、檩条等构件，构件数量统计时，构件总数是指楼层所有类型一般构件数量的总和。</w:t>
      </w:r>
    </w:p>
    <w:p>
      <w:pPr>
        <w:pStyle w:val="5"/>
        <w:bidi w:val="0"/>
        <w:ind w:left="0" w:leftChars="0" w:firstLine="0" w:firstLineChars="0"/>
        <w:rPr>
          <w:rFonts w:hint="eastAsia"/>
          <w:color w:val="auto"/>
        </w:rPr>
      </w:pPr>
      <w:r>
        <w:rPr>
          <w:rFonts w:hint="eastAsia"/>
          <w:color w:val="auto"/>
          <w:lang w:val="en-US" w:eastAsia="zh-CN"/>
        </w:rPr>
        <w:t>楼层</w:t>
      </w:r>
      <w:r>
        <w:rPr>
          <w:rFonts w:hint="eastAsia"/>
          <w:color w:val="auto"/>
        </w:rPr>
        <w:t>的安全性等级</w:t>
      </w:r>
      <w:r>
        <w:rPr>
          <w:rFonts w:hint="eastAsia"/>
          <w:color w:val="auto"/>
          <w:lang w:eastAsia="zh-CN"/>
        </w:rPr>
        <w:t>，</w:t>
      </w:r>
      <w:r>
        <w:rPr>
          <w:rFonts w:hint="eastAsia"/>
          <w:color w:val="auto"/>
        </w:rPr>
        <w:t>应按主要构件</w:t>
      </w:r>
      <w:r>
        <w:rPr>
          <w:rFonts w:hint="eastAsia"/>
          <w:color w:val="auto"/>
          <w:lang w:val="en-US" w:eastAsia="zh-CN"/>
        </w:rPr>
        <w:t>及一般构件评级等级中</w:t>
      </w:r>
      <w:r>
        <w:rPr>
          <w:rFonts w:hint="eastAsia"/>
          <w:color w:val="auto"/>
        </w:rPr>
        <w:t>的</w:t>
      </w:r>
      <w:r>
        <w:rPr>
          <w:rFonts w:hint="eastAsia"/>
          <w:color w:val="auto"/>
          <w:lang w:val="en-US" w:eastAsia="zh-CN"/>
        </w:rPr>
        <w:t>最低</w:t>
      </w:r>
      <w:r>
        <w:rPr>
          <w:rFonts w:hint="eastAsia"/>
          <w:color w:val="auto"/>
        </w:rPr>
        <w:t>等级确定。</w:t>
      </w:r>
    </w:p>
    <w:p>
      <w:pPr>
        <w:pStyle w:val="5"/>
        <w:ind w:firstLine="0" w:firstLineChars="0"/>
        <w:rPr>
          <w:rFonts w:hint="eastAsia"/>
          <w:lang w:val="en-US" w:eastAsia="zh-CN"/>
        </w:rPr>
      </w:pPr>
      <w:r>
        <w:rPr>
          <w:rFonts w:hint="eastAsia"/>
          <w:color w:val="auto"/>
          <w:lang w:val="en-US" w:eastAsia="zh-CN"/>
        </w:rPr>
        <w:t>上部结构构件系统的安全性等级，应</w:t>
      </w:r>
      <w:r>
        <w:rPr>
          <w:rFonts w:hint="eastAsia"/>
          <w:color w:val="auto"/>
        </w:rPr>
        <w:t>按</w:t>
      </w:r>
      <w:r>
        <w:rPr>
          <w:rFonts w:hint="eastAsia"/>
          <w:color w:val="auto"/>
          <w:lang w:val="en-US" w:eastAsia="zh-CN"/>
        </w:rPr>
        <w:t>各楼层安全性等级中</w:t>
      </w:r>
      <w:r>
        <w:rPr>
          <w:rFonts w:hint="eastAsia"/>
          <w:color w:val="auto"/>
        </w:rPr>
        <w:t>的</w:t>
      </w:r>
      <w:r>
        <w:rPr>
          <w:rFonts w:hint="eastAsia"/>
          <w:color w:val="auto"/>
          <w:lang w:val="en-US" w:eastAsia="zh-CN"/>
        </w:rPr>
        <w:t>最低</w:t>
      </w:r>
      <w:r>
        <w:rPr>
          <w:rFonts w:hint="eastAsia"/>
          <w:color w:val="auto"/>
        </w:rPr>
        <w:t>等级确定。</w:t>
      </w:r>
    </w:p>
    <w:p>
      <w:pPr>
        <w:pStyle w:val="5"/>
        <w:numPr>
          <w:ilvl w:val="-1"/>
          <w:numId w:val="0"/>
        </w:numPr>
        <w:ind w:firstLine="480" w:firstLineChars="200"/>
        <w:rPr>
          <w:rFonts w:hint="eastAsia"/>
          <w:lang w:val="en-US" w:eastAsia="zh-CN"/>
        </w:rPr>
      </w:pPr>
      <w:r>
        <w:rPr>
          <w:rFonts w:hint="eastAsia"/>
          <w:color w:val="auto"/>
          <w:lang w:val="en-US" w:eastAsia="zh-CN"/>
        </w:rPr>
        <w:t>起关键作用的竖向承重墙或柱构件、转换梁、托换梁等评为c</w:t>
      </w:r>
      <w:r>
        <w:rPr>
          <w:rFonts w:hint="eastAsia" w:hAnsi="Cambria Math" w:cs="宋体"/>
          <w:color w:val="auto"/>
          <w:kern w:val="0"/>
          <w:szCs w:val="24"/>
          <w:vertAlign w:val="subscript"/>
          <w:lang w:val="en-US" w:eastAsia="zh-CN" w:bidi="ar"/>
        </w:rPr>
        <w:t>u</w:t>
      </w:r>
      <w:r>
        <w:rPr>
          <w:rFonts w:hint="eastAsia"/>
          <w:color w:val="auto"/>
          <w:lang w:val="en-US" w:eastAsia="zh-CN"/>
        </w:rPr>
        <w:t>级以及结构传力路线严重不合理或倾斜变形不满足，明显影响结构安全，直接评为C</w:t>
      </w:r>
      <w:r>
        <w:rPr>
          <w:rFonts w:hint="eastAsia"/>
          <w:color w:val="auto"/>
          <w:vertAlign w:val="subscript"/>
          <w:lang w:val="en-US" w:eastAsia="zh-CN"/>
        </w:rPr>
        <w:t>u</w:t>
      </w:r>
      <w:r>
        <w:rPr>
          <w:rFonts w:hint="eastAsia"/>
          <w:color w:val="auto"/>
          <w:lang w:val="en-US" w:eastAsia="zh-CN"/>
        </w:rPr>
        <w:t>级。</w:t>
      </w:r>
    </w:p>
    <w:p>
      <w:pPr>
        <w:pStyle w:val="26"/>
        <w:bidi w:val="0"/>
        <w:rPr>
          <w:rFonts w:hint="eastAsia"/>
          <w:color w:val="auto"/>
          <w:lang w:val="en-US" w:eastAsia="zh-CN"/>
        </w:rPr>
      </w:pPr>
      <w:r>
        <w:rPr>
          <w:rFonts w:hint="eastAsia"/>
          <w:color w:val="auto"/>
        </w:rPr>
        <w:t>【条文说明】</w:t>
      </w:r>
      <w:r>
        <w:rPr>
          <w:rFonts w:hint="eastAsia"/>
          <w:color w:val="auto"/>
          <w:lang w:val="en-US" w:eastAsia="zh-CN"/>
        </w:rPr>
        <w:t>由于竖向构件的传力特点，其构件危险性的影响范围会辐射到该构件上方竖向构件以及与竖向构件相连的水平构件。民用建筑中，常常会采用预制混凝土构件，如砌体结构中预制空心板、混凝土结构中预制屋架、预制板等，与整体浇筑的混凝土结构不同，这些预制构件单向传力，且构件连接相对较弱，结构整体性较差。支承预制构件的墙、柱等竖向承重构件破坏可能导致房屋连锁反应，甚至发生局部坍塌或整体坍塌。本导则对起关键作用的竖向承重构件严格要求，体现了竖向承重构件在结构体系中重要性。</w:t>
      </w:r>
    </w:p>
    <w:p>
      <w:pPr>
        <w:pStyle w:val="3"/>
        <w:bidi w:val="0"/>
        <w:ind w:left="0" w:leftChars="0" w:firstLine="0" w:firstLineChars="0"/>
        <w:rPr>
          <w:rFonts w:hint="eastAsia"/>
          <w:color w:val="auto"/>
          <w:lang w:val="en-US" w:eastAsia="zh-CN"/>
        </w:rPr>
      </w:pPr>
      <w:bookmarkStart w:id="68" w:name="_Toc21540"/>
      <w:bookmarkStart w:id="69" w:name="_Toc26613"/>
      <w:r>
        <w:rPr>
          <w:rFonts w:hint="eastAsia"/>
          <w:color w:val="auto"/>
          <w:lang w:val="en-US" w:eastAsia="zh-CN"/>
        </w:rPr>
        <w:t>混凝土结构</w:t>
      </w:r>
      <w:bookmarkEnd w:id="68"/>
      <w:bookmarkEnd w:id="69"/>
    </w:p>
    <w:p>
      <w:pPr>
        <w:pStyle w:val="29"/>
        <w:numPr>
          <w:ilvl w:val="2"/>
          <w:numId w:val="10"/>
        </w:numPr>
        <w:bidi w:val="0"/>
        <w:rPr>
          <w:rFonts w:hint="default"/>
          <w:color w:val="auto"/>
          <w:lang w:val="en-US" w:eastAsia="zh-CN"/>
        </w:rPr>
      </w:pPr>
      <w:r>
        <w:rPr>
          <w:rFonts w:hint="eastAsia"/>
          <w:color w:val="auto"/>
          <w:lang w:val="en-US" w:eastAsia="zh-CN"/>
        </w:rPr>
        <w:t>结构体系鉴定</w:t>
      </w:r>
    </w:p>
    <w:p>
      <w:pPr>
        <w:pStyle w:val="5"/>
        <w:bidi w:val="0"/>
        <w:ind w:left="0" w:leftChars="0" w:firstLine="0" w:firstLineChars="0"/>
        <w:rPr>
          <w:rFonts w:hint="default"/>
          <w:color w:val="auto"/>
          <w:lang w:val="en-US" w:eastAsia="zh-CN"/>
        </w:rPr>
      </w:pPr>
      <w:r>
        <w:rPr>
          <w:rFonts w:hint="eastAsia"/>
          <w:color w:val="auto"/>
          <w:lang w:val="en-US" w:eastAsia="zh-CN"/>
        </w:rPr>
        <w:t>混凝土结构的结构体系鉴定，应对结构高宽比、结构布置、支撑系统、构件尺寸、易发生局部倒塌的构部件及其连接、顶点位移等检查项目进行检查，排架结构还应检查屋盖支撑。</w:t>
      </w:r>
    </w:p>
    <w:p>
      <w:pPr>
        <w:pStyle w:val="5"/>
        <w:bidi w:val="0"/>
        <w:ind w:left="0" w:leftChars="0" w:firstLine="0" w:firstLineChars="0"/>
        <w:rPr>
          <w:rFonts w:hint="default"/>
          <w:color w:val="auto"/>
          <w:lang w:val="en-US" w:eastAsia="zh-CN"/>
        </w:rPr>
      </w:pPr>
      <w:bookmarkStart w:id="70" w:name="_Ref13913"/>
      <w:r>
        <w:rPr>
          <w:rFonts w:hint="eastAsia"/>
          <w:color w:val="auto"/>
          <w:lang w:val="en-US" w:eastAsia="zh-CN"/>
        </w:rPr>
        <w:t>混凝土结构</w:t>
      </w:r>
      <w:r>
        <w:rPr>
          <w:rFonts w:hint="default"/>
          <w:color w:val="auto"/>
          <w:lang w:val="en-US" w:eastAsia="zh-CN"/>
        </w:rPr>
        <w:t>高宽比不</w:t>
      </w:r>
      <w:r>
        <w:rPr>
          <w:rFonts w:hint="eastAsia"/>
          <w:color w:val="auto"/>
          <w:lang w:val="en-US" w:eastAsia="zh-CN"/>
        </w:rPr>
        <w:t>应超过表</w:t>
      </w:r>
      <w:r>
        <w:rPr>
          <w:rFonts w:hint="eastAsia"/>
          <w:color w:val="auto"/>
          <w:lang w:val="en-US" w:eastAsia="zh-CN"/>
        </w:rPr>
        <w:fldChar w:fldCharType="begin"/>
      </w:r>
      <w:r>
        <w:rPr>
          <w:rFonts w:hint="eastAsia"/>
          <w:color w:val="auto"/>
          <w:lang w:val="en-US" w:eastAsia="zh-CN"/>
        </w:rPr>
        <w:instrText xml:space="preserve"> REF _Ref13913 \n \h </w:instrText>
      </w:r>
      <w:r>
        <w:rPr>
          <w:rFonts w:hint="eastAsia"/>
          <w:color w:val="auto"/>
          <w:lang w:val="en-US" w:eastAsia="zh-CN"/>
        </w:rPr>
        <w:fldChar w:fldCharType="separate"/>
      </w:r>
      <w:r>
        <w:rPr>
          <w:rFonts w:hint="eastAsia"/>
          <w:color w:val="auto"/>
          <w:lang w:val="en-US" w:eastAsia="zh-CN"/>
        </w:rPr>
        <w:t>7.3.2</w:t>
      </w:r>
      <w:r>
        <w:rPr>
          <w:rFonts w:hint="eastAsia"/>
          <w:color w:val="auto"/>
          <w:lang w:val="en-US" w:eastAsia="zh-CN"/>
        </w:rPr>
        <w:fldChar w:fldCharType="end"/>
      </w:r>
      <w:r>
        <w:rPr>
          <w:rFonts w:hint="eastAsia"/>
          <w:color w:val="auto"/>
          <w:lang w:val="en-US" w:eastAsia="zh-CN"/>
        </w:rPr>
        <w:t>规定</w:t>
      </w:r>
      <w:r>
        <w:rPr>
          <w:rFonts w:hint="default"/>
          <w:color w:val="auto"/>
          <w:lang w:val="en-US" w:eastAsia="zh-CN"/>
        </w:rPr>
        <w:t>。</w:t>
      </w:r>
      <w:bookmarkEnd w:id="70"/>
    </w:p>
    <w:p>
      <w:pPr>
        <w:pStyle w:val="25"/>
        <w:bidi w:val="0"/>
        <w:rPr>
          <w:rFonts w:hint="default"/>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_Ref13913 \n \h </w:instrText>
      </w:r>
      <w:r>
        <w:rPr>
          <w:rFonts w:hint="eastAsia"/>
          <w:color w:val="auto"/>
          <w:lang w:val="en-US" w:eastAsia="zh-CN"/>
        </w:rPr>
        <w:fldChar w:fldCharType="separate"/>
      </w:r>
      <w:r>
        <w:rPr>
          <w:rFonts w:hint="eastAsia"/>
          <w:color w:val="auto"/>
          <w:lang w:val="en-US" w:eastAsia="zh-CN"/>
        </w:rPr>
        <w:t>7.3.2</w:t>
      </w:r>
      <w:r>
        <w:rPr>
          <w:rFonts w:hint="eastAsia"/>
          <w:color w:val="auto"/>
          <w:lang w:val="en-US" w:eastAsia="zh-CN"/>
        </w:rPr>
        <w:fldChar w:fldCharType="end"/>
      </w:r>
      <w:r>
        <w:rPr>
          <w:rFonts w:hint="eastAsia"/>
          <w:color w:val="auto"/>
          <w:lang w:val="en-US" w:eastAsia="zh-CN"/>
        </w:rPr>
        <w:t xml:space="preserve"> 钢筋混凝土结构适用的最大高宽比</w:t>
      </w:r>
    </w:p>
    <w:tbl>
      <w:tblPr>
        <w:tblStyle w:val="21"/>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886"/>
        <w:gridCol w:w="1582"/>
        <w:gridCol w:w="38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c>
          <w:tcPr>
            <w:tcW w:w="1735" w:type="pct"/>
            <w:tcBorders>
              <w:top w:val="single" w:color="000000" w:sz="4" w:space="0"/>
              <w:left w:val="single" w:color="000000" w:sz="4" w:space="0"/>
              <w:bottom w:val="single" w:color="000000" w:sz="4" w:space="0"/>
              <w:right w:val="nil"/>
            </w:tcBorders>
            <w:vAlign w:val="top"/>
          </w:tcPr>
          <w:p>
            <w:pPr>
              <w:pStyle w:val="24"/>
              <w:bidi w:val="0"/>
              <w:rPr>
                <w:rFonts w:hint="eastAsia"/>
                <w:color w:val="auto"/>
                <w:lang w:val="en-US" w:eastAsia="zh-CN"/>
              </w:rPr>
            </w:pPr>
            <w:r>
              <w:rPr>
                <w:color w:val="auto"/>
              </w:rPr>
              <w:t>结构体系</w:t>
            </w:r>
          </w:p>
        </w:tc>
        <w:tc>
          <w:tcPr>
            <w:tcW w:w="951" w:type="pct"/>
            <w:tcBorders>
              <w:top w:val="single" w:color="000000" w:sz="4" w:space="0"/>
              <w:left w:val="single" w:color="000000" w:sz="4" w:space="0"/>
              <w:bottom w:val="single" w:color="000000" w:sz="4" w:space="0"/>
              <w:right w:val="single" w:color="000000" w:sz="4" w:space="0"/>
            </w:tcBorders>
            <w:vAlign w:val="top"/>
          </w:tcPr>
          <w:p>
            <w:pPr>
              <w:pStyle w:val="24"/>
              <w:bidi w:val="0"/>
              <w:rPr>
                <w:rFonts w:hint="eastAsia"/>
                <w:color w:val="auto"/>
                <w:lang w:val="en-US" w:eastAsia="zh-CN"/>
              </w:rPr>
            </w:pPr>
            <w:r>
              <w:rPr>
                <w:color w:val="auto"/>
              </w:rPr>
              <w:t>框架</w:t>
            </w:r>
          </w:p>
        </w:tc>
        <w:tc>
          <w:tcPr>
            <w:tcW w:w="2312" w:type="pct"/>
            <w:tcBorders>
              <w:top w:val="single" w:color="000000" w:sz="4" w:space="0"/>
              <w:left w:val="single" w:color="000000" w:sz="4" w:space="0"/>
              <w:bottom w:val="single" w:color="000000" w:sz="4" w:space="0"/>
              <w:right w:val="single" w:color="000000" w:sz="4" w:space="0"/>
            </w:tcBorders>
            <w:vAlign w:val="top"/>
          </w:tcPr>
          <w:p>
            <w:pPr>
              <w:pStyle w:val="24"/>
              <w:bidi w:val="0"/>
              <w:rPr>
                <w:rFonts w:hint="eastAsia"/>
                <w:color w:val="auto"/>
                <w:lang w:val="en-US" w:eastAsia="zh-CN"/>
              </w:rPr>
            </w:pPr>
            <w:r>
              <w:rPr>
                <w:color w:val="auto"/>
              </w:rPr>
              <w:t>框架-剪力墙</w:t>
            </w:r>
            <w:r>
              <w:rPr>
                <w:rFonts w:hint="eastAsia"/>
                <w:color w:val="auto"/>
                <w:lang w:eastAsia="zh-CN"/>
              </w:rPr>
              <w:t>、</w:t>
            </w:r>
            <w:r>
              <w:rPr>
                <w:color w:val="auto"/>
              </w:rPr>
              <w:t>剪力墙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735" w:type="pct"/>
            <w:tcBorders>
              <w:top w:val="single" w:color="000000" w:sz="4" w:space="0"/>
              <w:left w:val="single" w:color="000000" w:sz="4" w:space="0"/>
              <w:bottom w:val="single" w:color="000000" w:sz="4" w:space="0"/>
              <w:right w:val="nil"/>
            </w:tcBorders>
            <w:vAlign w:val="top"/>
          </w:tcPr>
          <w:p>
            <w:pPr>
              <w:pStyle w:val="24"/>
              <w:bidi w:val="0"/>
              <w:rPr>
                <w:rFonts w:hint="eastAsia"/>
                <w:color w:val="auto"/>
                <w:lang w:val="en-US" w:eastAsia="zh-CN"/>
              </w:rPr>
            </w:pPr>
            <w:r>
              <w:rPr>
                <w:rFonts w:hint="eastAsia"/>
                <w:color w:val="auto"/>
                <w:lang w:val="en-US" w:eastAsia="zh-CN"/>
              </w:rPr>
              <w:t>高宽比限值</w:t>
            </w:r>
          </w:p>
        </w:tc>
        <w:tc>
          <w:tcPr>
            <w:tcW w:w="951" w:type="pct"/>
            <w:tcBorders>
              <w:top w:val="single" w:color="000000" w:sz="4" w:space="0"/>
              <w:left w:val="single" w:color="000000" w:sz="4" w:space="0"/>
              <w:bottom w:val="single" w:color="000000" w:sz="4" w:space="0"/>
              <w:right w:val="single" w:color="000000" w:sz="4" w:space="0"/>
            </w:tcBorders>
            <w:vAlign w:val="top"/>
          </w:tcPr>
          <w:p>
            <w:pPr>
              <w:pStyle w:val="24"/>
              <w:bidi w:val="0"/>
              <w:rPr>
                <w:rFonts w:hint="eastAsia"/>
                <w:color w:val="auto"/>
                <w:lang w:val="en-US" w:eastAsia="zh-CN"/>
              </w:rPr>
            </w:pPr>
            <w:r>
              <w:rPr>
                <w:rFonts w:hint="eastAsia"/>
                <w:color w:val="auto"/>
                <w:lang w:val="en-US" w:eastAsia="zh-CN"/>
              </w:rPr>
              <w:t>5</w:t>
            </w:r>
          </w:p>
        </w:tc>
        <w:tc>
          <w:tcPr>
            <w:tcW w:w="2312" w:type="pct"/>
            <w:tcBorders>
              <w:top w:val="single" w:color="000000" w:sz="4" w:space="0"/>
              <w:left w:val="single" w:color="000000" w:sz="4" w:space="0"/>
              <w:bottom w:val="single" w:color="000000" w:sz="4" w:space="0"/>
              <w:right w:val="single" w:color="000000" w:sz="4" w:space="0"/>
            </w:tcBorders>
            <w:vAlign w:val="top"/>
          </w:tcPr>
          <w:p>
            <w:pPr>
              <w:pStyle w:val="24"/>
              <w:bidi w:val="0"/>
              <w:rPr>
                <w:rFonts w:hint="eastAsia"/>
                <w:color w:val="auto"/>
                <w:lang w:val="en-US" w:eastAsia="zh-CN"/>
              </w:rPr>
            </w:pPr>
            <w:r>
              <w:rPr>
                <w:rFonts w:hint="eastAsia"/>
                <w:color w:val="auto"/>
                <w:lang w:val="en-US" w:eastAsia="zh-CN"/>
              </w:rPr>
              <w:t>7</w:t>
            </w:r>
          </w:p>
        </w:tc>
      </w:tr>
    </w:tbl>
    <w:p>
      <w:pPr>
        <w:pStyle w:val="5"/>
        <w:bidi w:val="0"/>
        <w:ind w:left="0" w:leftChars="0" w:firstLine="0" w:firstLineChars="0"/>
        <w:rPr>
          <w:rFonts w:hint="eastAsia"/>
          <w:color w:val="auto"/>
        </w:rPr>
      </w:pPr>
      <w:r>
        <w:rPr>
          <w:rFonts w:hint="eastAsia"/>
          <w:color w:val="auto"/>
        </w:rPr>
        <w:t>钢筋混凝土</w:t>
      </w:r>
      <w:r>
        <w:rPr>
          <w:rFonts w:hint="eastAsia"/>
          <w:color w:val="auto"/>
          <w:lang w:val="en-US" w:eastAsia="zh-CN"/>
        </w:rPr>
        <w:t>结构</w:t>
      </w:r>
      <w:r>
        <w:rPr>
          <w:rFonts w:hint="eastAsia"/>
          <w:color w:val="auto"/>
        </w:rPr>
        <w:t>的结构布置</w:t>
      </w:r>
      <w:r>
        <w:rPr>
          <w:rFonts w:hint="eastAsia"/>
          <w:color w:val="auto"/>
          <w:lang w:eastAsia="zh-CN"/>
        </w:rPr>
        <w:t>，</w:t>
      </w:r>
      <w:r>
        <w:rPr>
          <w:rFonts w:hint="eastAsia"/>
          <w:color w:val="auto"/>
        </w:rPr>
        <w:t>应</w:t>
      </w:r>
      <w:r>
        <w:rPr>
          <w:rFonts w:hint="eastAsia"/>
          <w:color w:val="auto"/>
          <w:lang w:val="en-US" w:eastAsia="zh-CN"/>
        </w:rPr>
        <w:t>符合</w:t>
      </w:r>
      <w:r>
        <w:rPr>
          <w:rFonts w:hint="eastAsia"/>
          <w:color w:val="auto"/>
        </w:rPr>
        <w:t>下列规定：</w:t>
      </w:r>
    </w:p>
    <w:p>
      <w:pPr>
        <w:pStyle w:val="36"/>
        <w:bidi w:val="0"/>
        <w:rPr>
          <w:rFonts w:hint="eastAsia"/>
          <w:color w:val="auto"/>
        </w:rPr>
      </w:pPr>
      <w:r>
        <w:rPr>
          <w:rFonts w:hint="eastAsia"/>
          <w:color w:val="auto"/>
          <w:lang w:val="en-US" w:eastAsia="zh-CN"/>
        </w:rPr>
        <w:t>建筑平面宜简单、规则、对称，减少偏心。</w:t>
      </w:r>
    </w:p>
    <w:p>
      <w:pPr>
        <w:pStyle w:val="36"/>
        <w:bidi w:val="0"/>
        <w:rPr>
          <w:rFonts w:hint="default"/>
          <w:color w:val="auto"/>
          <w:lang w:val="en-US" w:eastAsia="zh-CN"/>
        </w:rPr>
      </w:pPr>
      <w:r>
        <w:rPr>
          <w:rFonts w:hint="eastAsia"/>
          <w:color w:val="auto"/>
          <w:lang w:val="en-US" w:eastAsia="zh-CN"/>
        </w:rPr>
        <w:t>建筑</w:t>
      </w:r>
      <w:r>
        <w:rPr>
          <w:rFonts w:hint="default"/>
          <w:color w:val="auto"/>
          <w:lang w:val="en-US" w:eastAsia="zh-CN"/>
        </w:rPr>
        <w:t>的竖向体型宜规则、均匀</w:t>
      </w:r>
      <w:r>
        <w:rPr>
          <w:rFonts w:hint="eastAsia"/>
          <w:color w:val="auto"/>
          <w:lang w:val="en-US" w:eastAsia="zh-CN"/>
        </w:rPr>
        <w:t>；</w:t>
      </w:r>
      <w:r>
        <w:rPr>
          <w:rFonts w:hint="default"/>
          <w:color w:val="auto"/>
          <w:lang w:val="en-US" w:eastAsia="zh-CN"/>
        </w:rPr>
        <w:t>结构的侧向刚度</w:t>
      </w:r>
      <w:r>
        <w:rPr>
          <w:rFonts w:hint="eastAsia"/>
          <w:color w:val="auto"/>
          <w:lang w:val="en-US" w:eastAsia="zh-CN"/>
        </w:rPr>
        <w:t>如变化，应下大上小</w:t>
      </w:r>
      <w:r>
        <w:rPr>
          <w:rFonts w:hint="default"/>
          <w:color w:val="auto"/>
          <w:lang w:val="en-US" w:eastAsia="zh-CN"/>
        </w:rPr>
        <w:t>逐渐均匀变化</w:t>
      </w:r>
      <w:r>
        <w:rPr>
          <w:rFonts w:hint="eastAsia"/>
          <w:color w:val="auto"/>
          <w:lang w:val="en-US" w:eastAsia="zh-CN"/>
        </w:rPr>
        <w:t>。</w:t>
      </w:r>
    </w:p>
    <w:p>
      <w:pPr>
        <w:pStyle w:val="36"/>
        <w:bidi w:val="0"/>
        <w:rPr>
          <w:rFonts w:hint="default"/>
          <w:color w:val="auto"/>
          <w:lang w:val="en-US" w:eastAsia="zh-CN"/>
        </w:rPr>
      </w:pPr>
      <w:r>
        <w:rPr>
          <w:rFonts w:hint="eastAsia"/>
          <w:color w:val="auto"/>
          <w:lang w:val="en-US" w:eastAsia="zh-CN"/>
        </w:rPr>
        <w:t>宜为双向抗侧力体系，不宜为单跨结构；框架柱、剪力墙等竖向承重构件宜上下</w:t>
      </w:r>
      <w:r>
        <w:rPr>
          <w:rFonts w:hint="default"/>
          <w:color w:val="auto"/>
          <w:lang w:val="en-US" w:eastAsia="zh-CN"/>
        </w:rPr>
        <w:t>连续</w:t>
      </w:r>
      <w:r>
        <w:rPr>
          <w:rFonts w:hint="eastAsia"/>
          <w:color w:val="auto"/>
          <w:lang w:val="en-US" w:eastAsia="zh-CN"/>
        </w:rPr>
        <w:t>。</w:t>
      </w:r>
    </w:p>
    <w:p>
      <w:pPr>
        <w:pStyle w:val="5"/>
        <w:bidi w:val="0"/>
        <w:ind w:left="0" w:leftChars="0" w:firstLine="0" w:firstLineChars="0"/>
        <w:rPr>
          <w:rFonts w:hint="eastAsia"/>
          <w:color w:val="auto"/>
          <w:lang w:val="en-US" w:eastAsia="zh-CN"/>
        </w:rPr>
      </w:pPr>
      <w:bookmarkStart w:id="71" w:name="_Ref14547"/>
      <w:r>
        <w:rPr>
          <w:rFonts w:hint="eastAsia"/>
          <w:color w:val="auto"/>
          <w:lang w:val="en-US" w:eastAsia="zh-CN"/>
        </w:rPr>
        <w:t>混凝土排架结构屋盖支撑布置应满足表</w:t>
      </w:r>
      <w:r>
        <w:rPr>
          <w:rFonts w:hint="eastAsia"/>
          <w:color w:val="auto"/>
          <w:lang w:val="en-US" w:eastAsia="zh-CN"/>
        </w:rPr>
        <w:fldChar w:fldCharType="begin"/>
      </w:r>
      <w:r>
        <w:rPr>
          <w:rFonts w:hint="eastAsia"/>
          <w:color w:val="auto"/>
          <w:lang w:val="en-US" w:eastAsia="zh-CN"/>
        </w:rPr>
        <w:instrText xml:space="preserve"> REF _Ref14547 \n \h </w:instrText>
      </w:r>
      <w:r>
        <w:rPr>
          <w:rFonts w:hint="eastAsia"/>
          <w:color w:val="auto"/>
          <w:lang w:val="en-US" w:eastAsia="zh-CN"/>
        </w:rPr>
        <w:fldChar w:fldCharType="separate"/>
      </w:r>
      <w:r>
        <w:rPr>
          <w:rFonts w:hint="eastAsia"/>
          <w:color w:val="auto"/>
          <w:lang w:val="en-US" w:eastAsia="zh-CN"/>
        </w:rPr>
        <w:t>7.3.4</w:t>
      </w:r>
      <w:r>
        <w:rPr>
          <w:rFonts w:hint="eastAsia"/>
          <w:color w:val="auto"/>
          <w:lang w:val="en-US" w:eastAsia="zh-CN"/>
        </w:rPr>
        <w:fldChar w:fldCharType="end"/>
      </w:r>
      <w:r>
        <w:rPr>
          <w:rFonts w:hint="eastAsia"/>
          <w:color w:val="auto"/>
          <w:lang w:val="en-US" w:eastAsia="zh-CN"/>
        </w:rPr>
        <w:t>-1和表</w:t>
      </w:r>
      <w:r>
        <w:rPr>
          <w:rFonts w:hint="eastAsia"/>
          <w:color w:val="auto"/>
          <w:lang w:val="en-US" w:eastAsia="zh-CN"/>
        </w:rPr>
        <w:fldChar w:fldCharType="begin"/>
      </w:r>
      <w:r>
        <w:rPr>
          <w:rFonts w:hint="eastAsia"/>
          <w:color w:val="auto"/>
          <w:lang w:val="en-US" w:eastAsia="zh-CN"/>
        </w:rPr>
        <w:instrText xml:space="preserve"> REF _Ref14547 \n \h </w:instrText>
      </w:r>
      <w:r>
        <w:rPr>
          <w:rFonts w:hint="eastAsia"/>
          <w:color w:val="auto"/>
          <w:lang w:val="en-US" w:eastAsia="zh-CN"/>
        </w:rPr>
        <w:fldChar w:fldCharType="separate"/>
      </w:r>
      <w:r>
        <w:rPr>
          <w:rFonts w:hint="eastAsia"/>
          <w:color w:val="auto"/>
          <w:lang w:val="en-US" w:eastAsia="zh-CN"/>
        </w:rPr>
        <w:t>7.3.4</w:t>
      </w:r>
      <w:r>
        <w:rPr>
          <w:rFonts w:hint="eastAsia"/>
          <w:color w:val="auto"/>
          <w:lang w:val="en-US" w:eastAsia="zh-CN"/>
        </w:rPr>
        <w:fldChar w:fldCharType="end"/>
      </w:r>
      <w:r>
        <w:rPr>
          <w:rFonts w:hint="eastAsia"/>
          <w:color w:val="auto"/>
          <w:lang w:val="en-US" w:eastAsia="zh-CN"/>
        </w:rPr>
        <w:t>-2的要求</w:t>
      </w:r>
      <w:bookmarkEnd w:id="71"/>
      <w:r>
        <w:rPr>
          <w:rFonts w:hint="eastAsia"/>
          <w:color w:val="auto"/>
          <w:lang w:val="en-US" w:eastAsia="zh-CN"/>
        </w:rPr>
        <w:t>。</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_Ref14547 \n \h </w:instrText>
      </w:r>
      <w:r>
        <w:rPr>
          <w:rFonts w:hint="eastAsia"/>
          <w:color w:val="auto"/>
          <w:lang w:val="en-US" w:eastAsia="zh-CN"/>
        </w:rPr>
        <w:fldChar w:fldCharType="separate"/>
      </w:r>
      <w:r>
        <w:rPr>
          <w:rFonts w:hint="eastAsia"/>
          <w:color w:val="auto"/>
          <w:lang w:val="en-US" w:eastAsia="zh-CN"/>
        </w:rPr>
        <w:t>7.3.4</w:t>
      </w:r>
      <w:r>
        <w:rPr>
          <w:rFonts w:hint="eastAsia"/>
          <w:color w:val="auto"/>
          <w:lang w:val="en-US" w:eastAsia="zh-CN"/>
        </w:rPr>
        <w:fldChar w:fldCharType="end"/>
      </w:r>
      <w:r>
        <w:rPr>
          <w:rFonts w:hint="eastAsia"/>
          <w:color w:val="auto"/>
          <w:lang w:val="en-US" w:eastAsia="zh-CN"/>
        </w:rPr>
        <w:t xml:space="preserve">-1 </w:t>
      </w:r>
      <w:r>
        <w:rPr>
          <w:color w:val="auto"/>
        </w:rPr>
        <w:t>有檩屋盖的支撑布置</w:t>
      </w:r>
    </w:p>
    <w:tbl>
      <w:tblPr>
        <w:tblStyle w:val="27"/>
        <w:tblW w:w="50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81"/>
        <w:gridCol w:w="1759"/>
        <w:gridCol w:w="6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395" w:type="pct"/>
            <w:gridSpan w:val="2"/>
            <w:vAlign w:val="top"/>
          </w:tcPr>
          <w:p>
            <w:pPr>
              <w:pStyle w:val="24"/>
              <w:bidi w:val="0"/>
              <w:rPr>
                <w:color w:val="auto"/>
              </w:rPr>
            </w:pPr>
            <w:r>
              <w:rPr>
                <w:color w:val="auto"/>
              </w:rPr>
              <w:t>支撑名称</w:t>
            </w:r>
          </w:p>
        </w:tc>
        <w:tc>
          <w:tcPr>
            <w:tcW w:w="3604" w:type="pct"/>
            <w:vAlign w:val="top"/>
          </w:tcPr>
          <w:p>
            <w:pPr>
              <w:pStyle w:val="24"/>
              <w:bidi w:val="0"/>
              <w:rPr>
                <w:color w:val="auto"/>
              </w:rPr>
            </w:pPr>
            <w:r>
              <w:rPr>
                <w:rFonts w:hint="eastAsia"/>
                <w:color w:val="auto"/>
                <w:lang w:val="en-US" w:eastAsia="zh-CN"/>
              </w:rPr>
              <w:t>布置位置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46" w:type="pct"/>
            <w:vMerge w:val="restart"/>
            <w:vAlign w:val="top"/>
          </w:tcPr>
          <w:p>
            <w:pPr>
              <w:pStyle w:val="24"/>
              <w:bidi w:val="0"/>
              <w:rPr>
                <w:color w:val="auto"/>
              </w:rPr>
            </w:pPr>
            <w:r>
              <w:rPr>
                <w:color w:val="auto"/>
              </w:rPr>
              <w:t>屋架支撑</w:t>
            </w:r>
          </w:p>
        </w:tc>
        <w:tc>
          <w:tcPr>
            <w:tcW w:w="1048" w:type="pct"/>
            <w:vAlign w:val="top"/>
          </w:tcPr>
          <w:p>
            <w:pPr>
              <w:pStyle w:val="24"/>
              <w:bidi w:val="0"/>
              <w:rPr>
                <w:color w:val="auto"/>
              </w:rPr>
            </w:pPr>
            <w:r>
              <w:rPr>
                <w:color w:val="auto"/>
              </w:rPr>
              <w:t>上弦横向水平支撑</w:t>
            </w:r>
          </w:p>
        </w:tc>
        <w:tc>
          <w:tcPr>
            <w:tcW w:w="3604" w:type="pct"/>
            <w:vAlign w:val="top"/>
          </w:tcPr>
          <w:p>
            <w:pPr>
              <w:pStyle w:val="24"/>
              <w:bidi w:val="0"/>
              <w:jc w:val="left"/>
              <w:rPr>
                <w:rFonts w:hint="eastAsia"/>
                <w:color w:val="auto"/>
                <w:lang w:eastAsia="zh-CN"/>
              </w:rPr>
            </w:pPr>
            <w:r>
              <w:rPr>
                <w:rFonts w:hint="eastAsia"/>
                <w:color w:val="auto"/>
                <w:lang w:eastAsia="zh-CN"/>
              </w:rPr>
              <w:t>单元端开间各设一道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46" w:type="pct"/>
            <w:vMerge w:val="continue"/>
            <w:vAlign w:val="top"/>
          </w:tcPr>
          <w:p>
            <w:pPr>
              <w:pStyle w:val="24"/>
              <w:bidi w:val="0"/>
              <w:rPr>
                <w:color w:val="auto"/>
              </w:rPr>
            </w:pPr>
          </w:p>
        </w:tc>
        <w:tc>
          <w:tcPr>
            <w:tcW w:w="1048" w:type="pct"/>
            <w:vAlign w:val="top"/>
          </w:tcPr>
          <w:p>
            <w:pPr>
              <w:pStyle w:val="24"/>
              <w:bidi w:val="0"/>
              <w:rPr>
                <w:color w:val="auto"/>
              </w:rPr>
            </w:pPr>
            <w:r>
              <w:rPr>
                <w:color w:val="auto"/>
              </w:rPr>
              <w:t>下弦横向水平支撑</w:t>
            </w:r>
          </w:p>
        </w:tc>
        <w:tc>
          <w:tcPr>
            <w:tcW w:w="3604" w:type="pct"/>
            <w:vAlign w:val="top"/>
          </w:tcPr>
          <w:p>
            <w:pPr>
              <w:pStyle w:val="24"/>
              <w:bidi w:val="0"/>
              <w:jc w:val="left"/>
              <w:rPr>
                <w:rFonts w:hint="eastAsia"/>
                <w:color w:val="auto"/>
                <w:lang w:eastAsia="zh-CN"/>
              </w:rPr>
            </w:pPr>
            <w:r>
              <w:rPr>
                <w:rFonts w:hint="eastAsia"/>
                <w:color w:val="auto"/>
                <w:lang w:eastAsia="zh-CN"/>
              </w:rPr>
              <w:t>在屋架下弦传递水平力时，应在单元端开间或靠近水平力作用处设置一道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46" w:type="pct"/>
            <w:vMerge w:val="continue"/>
            <w:vAlign w:val="top"/>
          </w:tcPr>
          <w:p>
            <w:pPr>
              <w:pStyle w:val="24"/>
              <w:bidi w:val="0"/>
              <w:rPr>
                <w:color w:val="auto"/>
              </w:rPr>
            </w:pPr>
          </w:p>
        </w:tc>
        <w:tc>
          <w:tcPr>
            <w:tcW w:w="1048" w:type="pct"/>
            <w:vAlign w:val="top"/>
          </w:tcPr>
          <w:p>
            <w:pPr>
              <w:pStyle w:val="24"/>
              <w:bidi w:val="0"/>
              <w:rPr>
                <w:color w:val="auto"/>
              </w:rPr>
            </w:pPr>
            <w:r>
              <w:rPr>
                <w:color w:val="auto"/>
              </w:rPr>
              <w:t>跨中竖向支撑</w:t>
            </w:r>
          </w:p>
        </w:tc>
        <w:tc>
          <w:tcPr>
            <w:tcW w:w="3604" w:type="pct"/>
            <w:vAlign w:val="top"/>
          </w:tcPr>
          <w:p>
            <w:pPr>
              <w:pStyle w:val="24"/>
              <w:bidi w:val="0"/>
              <w:jc w:val="left"/>
              <w:rPr>
                <w:rFonts w:hint="eastAsia"/>
                <w:color w:val="auto"/>
                <w:lang w:eastAsia="zh-CN"/>
              </w:rPr>
            </w:pPr>
            <w:r>
              <w:rPr>
                <w:rFonts w:hint="eastAsia"/>
                <w:color w:val="auto"/>
                <w:lang w:eastAsia="zh-CN"/>
              </w:rPr>
              <w:t>屋架跨度&gt;18m及≤30m时，在单元两端第一或第二开间及单元长度大于66m时，在柱间支撑开间的屋架跨度中点，设置一道垂直支撑及下弦通长系杆；当有天窗时还应设置上弦通长系杆。屋架跨度&gt;30m时，在上述开间内的屋架跨度1/3左右处设置二道垂直支撑及下弦通长系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46" w:type="pct"/>
            <w:vMerge w:val="continue"/>
            <w:vAlign w:val="top"/>
          </w:tcPr>
          <w:p>
            <w:pPr>
              <w:pStyle w:val="24"/>
              <w:bidi w:val="0"/>
              <w:rPr>
                <w:color w:val="auto"/>
              </w:rPr>
            </w:pPr>
          </w:p>
        </w:tc>
        <w:tc>
          <w:tcPr>
            <w:tcW w:w="1048" w:type="pct"/>
            <w:vAlign w:val="top"/>
          </w:tcPr>
          <w:p>
            <w:pPr>
              <w:pStyle w:val="24"/>
              <w:bidi w:val="0"/>
              <w:rPr>
                <w:color w:val="auto"/>
              </w:rPr>
            </w:pPr>
            <w:r>
              <w:rPr>
                <w:color w:val="auto"/>
              </w:rPr>
              <w:t>端部竖向支撑</w:t>
            </w:r>
          </w:p>
        </w:tc>
        <w:tc>
          <w:tcPr>
            <w:tcW w:w="3604" w:type="pct"/>
            <w:vAlign w:val="top"/>
          </w:tcPr>
          <w:p>
            <w:pPr>
              <w:pStyle w:val="24"/>
              <w:bidi w:val="0"/>
              <w:jc w:val="left"/>
              <w:rPr>
                <w:rFonts w:hint="eastAsia"/>
                <w:color w:val="auto"/>
                <w:lang w:eastAsia="zh-CN"/>
              </w:rPr>
            </w:pPr>
            <w:r>
              <w:rPr>
                <w:rFonts w:hint="eastAsia"/>
                <w:color w:val="auto"/>
                <w:lang w:eastAsia="zh-CN"/>
              </w:rPr>
              <w:t>端部高度&gt;</w:t>
            </w:r>
            <w:r>
              <w:rPr>
                <w:rFonts w:hint="eastAsia"/>
                <w:color w:val="auto"/>
                <w:lang w:val="en-US" w:eastAsia="zh-CN"/>
              </w:rPr>
              <w:t>900</w:t>
            </w:r>
            <w:r>
              <w:rPr>
                <w:rFonts w:hint="eastAsia"/>
                <w:color w:val="auto"/>
                <w:lang w:eastAsia="zh-CN"/>
              </w:rPr>
              <w:t>mm</w:t>
            </w:r>
            <w:r>
              <w:rPr>
                <w:rFonts w:hint="eastAsia"/>
                <w:color w:val="auto"/>
                <w:lang w:val="en-US" w:eastAsia="zh-CN"/>
              </w:rPr>
              <w:t>时，</w:t>
            </w:r>
            <w:r>
              <w:rPr>
                <w:rFonts w:hint="eastAsia"/>
                <w:color w:val="auto"/>
                <w:lang w:eastAsia="zh-CN"/>
              </w:rPr>
              <w:t>单元端开间及柱间支撑开间各设一道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46" w:type="pct"/>
            <w:vMerge w:val="restart"/>
            <w:vAlign w:val="top"/>
          </w:tcPr>
          <w:p>
            <w:pPr>
              <w:pStyle w:val="24"/>
              <w:bidi w:val="0"/>
              <w:rPr>
                <w:color w:val="auto"/>
              </w:rPr>
            </w:pPr>
            <w:r>
              <w:rPr>
                <w:color w:val="auto"/>
              </w:rPr>
              <w:t>天窗架支撑</w:t>
            </w:r>
          </w:p>
        </w:tc>
        <w:tc>
          <w:tcPr>
            <w:tcW w:w="1048" w:type="pct"/>
            <w:vAlign w:val="top"/>
          </w:tcPr>
          <w:p>
            <w:pPr>
              <w:pStyle w:val="24"/>
              <w:bidi w:val="0"/>
              <w:rPr>
                <w:color w:val="auto"/>
              </w:rPr>
            </w:pPr>
            <w:r>
              <w:rPr>
                <w:color w:val="auto"/>
              </w:rPr>
              <w:t>上弦横向支撑</w:t>
            </w:r>
          </w:p>
        </w:tc>
        <w:tc>
          <w:tcPr>
            <w:tcW w:w="3604" w:type="pct"/>
            <w:vAlign w:val="top"/>
          </w:tcPr>
          <w:p>
            <w:pPr>
              <w:pStyle w:val="24"/>
              <w:bidi w:val="0"/>
              <w:jc w:val="left"/>
              <w:rPr>
                <w:rFonts w:hint="eastAsia"/>
                <w:color w:val="auto"/>
                <w:lang w:eastAsia="zh-CN"/>
              </w:rPr>
            </w:pPr>
            <w:r>
              <w:rPr>
                <w:rFonts w:hint="eastAsia"/>
                <w:color w:val="auto"/>
                <w:lang w:eastAsia="zh-CN"/>
              </w:rPr>
              <w:t>天窗单元端开间各设一道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346" w:type="pct"/>
            <w:vMerge w:val="continue"/>
            <w:vAlign w:val="top"/>
          </w:tcPr>
          <w:p>
            <w:pPr>
              <w:pStyle w:val="24"/>
              <w:bidi w:val="0"/>
              <w:rPr>
                <w:color w:val="auto"/>
              </w:rPr>
            </w:pPr>
          </w:p>
        </w:tc>
        <w:tc>
          <w:tcPr>
            <w:tcW w:w="1048" w:type="pct"/>
            <w:vAlign w:val="top"/>
          </w:tcPr>
          <w:p>
            <w:pPr>
              <w:pStyle w:val="24"/>
              <w:bidi w:val="0"/>
              <w:rPr>
                <w:color w:val="auto"/>
              </w:rPr>
            </w:pPr>
            <w:r>
              <w:rPr>
                <w:color w:val="auto"/>
              </w:rPr>
              <w:t>两侧竖向支撑</w:t>
            </w:r>
          </w:p>
        </w:tc>
        <w:tc>
          <w:tcPr>
            <w:tcW w:w="3604" w:type="pct"/>
            <w:vAlign w:val="top"/>
          </w:tcPr>
          <w:p>
            <w:pPr>
              <w:pStyle w:val="24"/>
              <w:bidi w:val="0"/>
              <w:jc w:val="left"/>
              <w:rPr>
                <w:rFonts w:hint="eastAsia"/>
                <w:color w:val="auto"/>
                <w:lang w:eastAsia="zh-CN"/>
              </w:rPr>
            </w:pPr>
            <w:r>
              <w:rPr>
                <w:rFonts w:hint="eastAsia"/>
                <w:color w:val="auto"/>
                <w:lang w:eastAsia="zh-CN"/>
              </w:rPr>
              <w:t>天窗单元端开间及每隔36m各设一道</w:t>
            </w:r>
          </w:p>
        </w:tc>
      </w:tr>
    </w:tbl>
    <w:p>
      <w:pPr>
        <w:pStyle w:val="39"/>
        <w:bidi w:val="0"/>
        <w:rPr>
          <w:color w:val="auto"/>
        </w:rPr>
      </w:pPr>
      <w:r>
        <w:rPr>
          <w:color w:val="auto"/>
        </w:rPr>
        <w:t>注：1</w:t>
      </w:r>
      <w:r>
        <w:rPr>
          <w:rFonts w:hint="eastAsia"/>
          <w:color w:val="auto"/>
          <w:lang w:val="en-US" w:eastAsia="zh-CN"/>
        </w:rPr>
        <w:t xml:space="preserve"> </w:t>
      </w:r>
      <w:r>
        <w:rPr>
          <w:color w:val="auto"/>
        </w:rPr>
        <w:t>表中“单元”指</w:t>
      </w:r>
      <w:r>
        <w:rPr>
          <w:rFonts w:hint="eastAsia"/>
          <w:color w:val="auto"/>
          <w:lang w:eastAsia="zh-CN"/>
        </w:rPr>
        <w:t>建筑</w:t>
      </w:r>
      <w:r>
        <w:rPr>
          <w:color w:val="auto"/>
        </w:rPr>
        <w:t>独立结构单元；</w:t>
      </w:r>
    </w:p>
    <w:p>
      <w:pPr>
        <w:pStyle w:val="38"/>
        <w:bidi w:val="0"/>
        <w:rPr>
          <w:color w:val="auto"/>
        </w:rPr>
      </w:pPr>
      <w:r>
        <w:rPr>
          <w:color w:val="auto"/>
        </w:rPr>
        <w:t>2</w:t>
      </w:r>
      <w:r>
        <w:rPr>
          <w:rFonts w:hint="eastAsia"/>
          <w:color w:val="auto"/>
          <w:lang w:val="en-US" w:eastAsia="zh-CN"/>
        </w:rPr>
        <w:t xml:space="preserve"> </w:t>
      </w:r>
      <w:r>
        <w:rPr>
          <w:color w:val="auto"/>
        </w:rPr>
        <w:t>天窗跨度不小于12m 时，对于应设置两侧竖向支撑的天窗，尚应在天窗架中央增设竖向支撑。</w:t>
      </w:r>
    </w:p>
    <w:p>
      <w:pPr>
        <w:pStyle w:val="25"/>
        <w:bidi w:val="0"/>
        <w:rPr>
          <w:color w:val="auto"/>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_Ref14547 \n \h </w:instrText>
      </w:r>
      <w:r>
        <w:rPr>
          <w:rFonts w:hint="eastAsia"/>
          <w:color w:val="auto"/>
          <w:lang w:val="en-US" w:eastAsia="zh-CN"/>
        </w:rPr>
        <w:fldChar w:fldCharType="separate"/>
      </w:r>
      <w:r>
        <w:rPr>
          <w:rFonts w:hint="eastAsia"/>
          <w:color w:val="auto"/>
          <w:lang w:val="en-US" w:eastAsia="zh-CN"/>
        </w:rPr>
        <w:t>7.3.4</w:t>
      </w:r>
      <w:r>
        <w:rPr>
          <w:rFonts w:hint="eastAsia"/>
          <w:color w:val="auto"/>
          <w:lang w:val="en-US" w:eastAsia="zh-CN"/>
        </w:rPr>
        <w:fldChar w:fldCharType="end"/>
      </w:r>
      <w:r>
        <w:rPr>
          <w:rFonts w:hint="eastAsia"/>
          <w:color w:val="auto"/>
          <w:lang w:val="en-US" w:eastAsia="zh-CN"/>
        </w:rPr>
        <w:t xml:space="preserve">-2 </w:t>
      </w:r>
      <w:r>
        <w:rPr>
          <w:color w:val="auto"/>
        </w:rPr>
        <w:t xml:space="preserve">无檩屋盖的支撑布置                     </w:t>
      </w:r>
    </w:p>
    <w:p>
      <w:pPr>
        <w:spacing w:line="59" w:lineRule="exact"/>
        <w:rPr>
          <w:color w:val="auto"/>
        </w:rPr>
      </w:pPr>
    </w:p>
    <w:tbl>
      <w:tblPr>
        <w:tblStyle w:val="27"/>
        <w:tblW w:w="50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91"/>
        <w:gridCol w:w="1057"/>
        <w:gridCol w:w="6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1646" w:type="dxa"/>
            <w:gridSpan w:val="2"/>
            <w:vAlign w:val="top"/>
          </w:tcPr>
          <w:p>
            <w:pPr>
              <w:pStyle w:val="24"/>
              <w:bidi w:val="0"/>
              <w:ind w:firstLine="0" w:firstLineChars="0"/>
              <w:rPr>
                <w:color w:val="auto"/>
              </w:rPr>
            </w:pPr>
            <w:r>
              <w:rPr>
                <w:color w:val="auto"/>
              </w:rPr>
              <w:t>支撑名称</w:t>
            </w:r>
          </w:p>
        </w:tc>
        <w:tc>
          <w:tcPr>
            <w:tcW w:w="6813" w:type="dxa"/>
            <w:vAlign w:val="top"/>
          </w:tcPr>
          <w:p>
            <w:pPr>
              <w:pStyle w:val="24"/>
              <w:bidi w:val="0"/>
              <w:ind w:firstLine="0" w:firstLineChars="0"/>
              <w:rPr>
                <w:color w:val="auto"/>
              </w:rPr>
            </w:pPr>
            <w:r>
              <w:rPr>
                <w:rFonts w:hint="eastAsia"/>
                <w:color w:val="auto"/>
                <w:lang w:val="en-US" w:eastAsia="zh-CN"/>
              </w:rPr>
              <w:t>布置位置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90" w:type="dxa"/>
            <w:vMerge w:val="restart"/>
            <w:vAlign w:val="center"/>
          </w:tcPr>
          <w:p>
            <w:pPr>
              <w:pStyle w:val="24"/>
              <w:bidi w:val="0"/>
              <w:jc w:val="center"/>
              <w:rPr>
                <w:color w:val="auto"/>
              </w:rPr>
            </w:pPr>
            <w:r>
              <w:rPr>
                <w:color w:val="auto"/>
              </w:rPr>
              <w:t>屋</w:t>
            </w:r>
          </w:p>
          <w:p>
            <w:pPr>
              <w:pStyle w:val="24"/>
              <w:bidi w:val="0"/>
              <w:jc w:val="center"/>
              <w:rPr>
                <w:color w:val="auto"/>
              </w:rPr>
            </w:pPr>
            <w:r>
              <w:rPr>
                <w:color w:val="auto"/>
              </w:rPr>
              <w:t>架</w:t>
            </w:r>
          </w:p>
          <w:p>
            <w:pPr>
              <w:pStyle w:val="24"/>
              <w:bidi w:val="0"/>
              <w:jc w:val="center"/>
              <w:rPr>
                <w:color w:val="auto"/>
              </w:rPr>
            </w:pPr>
            <w:r>
              <w:rPr>
                <w:color w:val="auto"/>
              </w:rPr>
              <w:t>支</w:t>
            </w:r>
          </w:p>
          <w:p>
            <w:pPr>
              <w:pStyle w:val="24"/>
              <w:bidi w:val="0"/>
              <w:jc w:val="center"/>
              <w:rPr>
                <w:color w:val="auto"/>
              </w:rPr>
            </w:pPr>
            <w:r>
              <w:rPr>
                <w:color w:val="auto"/>
              </w:rPr>
              <w:t>撑</w:t>
            </w:r>
          </w:p>
        </w:tc>
        <w:tc>
          <w:tcPr>
            <w:tcW w:w="1056" w:type="dxa"/>
            <w:vAlign w:val="center"/>
          </w:tcPr>
          <w:p>
            <w:pPr>
              <w:pStyle w:val="24"/>
              <w:bidi w:val="0"/>
              <w:jc w:val="center"/>
              <w:rPr>
                <w:color w:val="auto"/>
              </w:rPr>
            </w:pPr>
            <w:r>
              <w:rPr>
                <w:color w:val="auto"/>
              </w:rPr>
              <w:t>上弦横向水平支撑</w:t>
            </w:r>
          </w:p>
        </w:tc>
        <w:tc>
          <w:tcPr>
            <w:tcW w:w="6813" w:type="dxa"/>
            <w:vAlign w:val="top"/>
          </w:tcPr>
          <w:p>
            <w:pPr>
              <w:pStyle w:val="24"/>
              <w:bidi w:val="0"/>
              <w:jc w:val="left"/>
              <w:rPr>
                <w:rFonts w:hint="eastAsia" w:eastAsia="宋体"/>
                <w:color w:val="auto"/>
                <w:lang w:eastAsia="zh-CN"/>
              </w:rPr>
            </w:pPr>
            <w:r>
              <w:rPr>
                <w:rFonts w:hint="eastAsia"/>
                <w:color w:val="auto"/>
                <w:lang w:eastAsia="zh-CN"/>
              </w:rPr>
              <w:t>各种跨度均可不设置横向水平支撑；跨度不小于18m</w:t>
            </w:r>
            <w:r>
              <w:rPr>
                <w:rFonts w:hint="eastAsia"/>
                <w:color w:val="auto"/>
                <w:lang w:val="en-US" w:eastAsia="zh-CN"/>
              </w:rPr>
              <w:t>的建筑</w:t>
            </w:r>
            <w:r>
              <w:rPr>
                <w:rFonts w:hint="eastAsia"/>
                <w:color w:val="auto"/>
                <w:lang w:eastAsia="zh-CN"/>
              </w:rPr>
              <w:t>，在单元端开间各设置一道；当天窗通过温度伸缩缝时，在温度伸缩缝两旁天窗下各设置局部支撑一道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90" w:type="dxa"/>
            <w:vMerge w:val="continue"/>
            <w:vAlign w:val="top"/>
          </w:tcPr>
          <w:p>
            <w:pPr>
              <w:pStyle w:val="24"/>
              <w:bidi w:val="0"/>
              <w:rPr>
                <w:color w:val="auto"/>
              </w:rPr>
            </w:pPr>
          </w:p>
        </w:tc>
        <w:tc>
          <w:tcPr>
            <w:tcW w:w="1056" w:type="dxa"/>
            <w:vAlign w:val="center"/>
          </w:tcPr>
          <w:p>
            <w:pPr>
              <w:pStyle w:val="24"/>
              <w:bidi w:val="0"/>
              <w:jc w:val="center"/>
              <w:rPr>
                <w:color w:val="auto"/>
              </w:rPr>
            </w:pPr>
            <w:r>
              <w:rPr>
                <w:color w:val="auto"/>
              </w:rPr>
              <w:t>下弦横向水平支撑</w:t>
            </w:r>
          </w:p>
        </w:tc>
        <w:tc>
          <w:tcPr>
            <w:tcW w:w="6813" w:type="dxa"/>
            <w:vAlign w:val="top"/>
          </w:tcPr>
          <w:p>
            <w:pPr>
              <w:pStyle w:val="24"/>
              <w:bidi w:val="0"/>
              <w:jc w:val="left"/>
              <w:rPr>
                <w:rFonts w:hint="eastAsia" w:eastAsia="宋体"/>
                <w:color w:val="auto"/>
                <w:lang w:eastAsia="zh-CN"/>
              </w:rPr>
            </w:pPr>
            <w:r>
              <w:rPr>
                <w:rFonts w:hint="eastAsia"/>
                <w:color w:val="auto"/>
                <w:lang w:eastAsia="zh-CN"/>
              </w:rPr>
              <w:t>在屋架下弦传递水平力时，应在单元端开间或靠近水平力作用处设置一道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90" w:type="dxa"/>
            <w:vMerge w:val="continue"/>
            <w:vAlign w:val="top"/>
          </w:tcPr>
          <w:p>
            <w:pPr>
              <w:pStyle w:val="24"/>
              <w:bidi w:val="0"/>
              <w:rPr>
                <w:color w:val="auto"/>
              </w:rPr>
            </w:pPr>
          </w:p>
        </w:tc>
        <w:tc>
          <w:tcPr>
            <w:tcW w:w="1056" w:type="dxa"/>
            <w:vAlign w:val="center"/>
          </w:tcPr>
          <w:p>
            <w:pPr>
              <w:pStyle w:val="24"/>
              <w:bidi w:val="0"/>
              <w:jc w:val="center"/>
              <w:rPr>
                <w:color w:val="auto"/>
              </w:rPr>
            </w:pPr>
            <w:r>
              <w:rPr>
                <w:color w:val="auto"/>
              </w:rPr>
              <w:t>跨中竖向支撑</w:t>
            </w:r>
          </w:p>
        </w:tc>
        <w:tc>
          <w:tcPr>
            <w:tcW w:w="6813" w:type="dxa"/>
            <w:vAlign w:val="top"/>
          </w:tcPr>
          <w:p>
            <w:pPr>
              <w:pStyle w:val="24"/>
              <w:bidi w:val="0"/>
              <w:jc w:val="left"/>
              <w:rPr>
                <w:rFonts w:hint="eastAsia" w:eastAsia="宋体"/>
                <w:color w:val="auto"/>
                <w:lang w:eastAsia="zh-CN"/>
              </w:rPr>
            </w:pPr>
            <w:r>
              <w:rPr>
                <w:rFonts w:hint="eastAsia"/>
                <w:color w:val="auto"/>
                <w:lang w:eastAsia="zh-CN"/>
              </w:rPr>
              <w:t>屋架跨度&gt;18m及≤30m时，在单元两端第一或第二开间及单元长度大于66m时，在柱间支撑开间的屋架跨度中点，设置一道垂直支撑及下弦通长系杆；当有天窗时还应设置上弦通长系杆。屋架跨度&gt;30m时，在上述开间内的屋架跨度1/3左右处设置二道垂直支撑及下弦通长系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90" w:type="dxa"/>
            <w:vMerge w:val="continue"/>
            <w:vAlign w:val="top"/>
          </w:tcPr>
          <w:p>
            <w:pPr>
              <w:rPr>
                <w:rFonts w:ascii="Arial"/>
                <w:color w:val="auto"/>
                <w:sz w:val="21"/>
              </w:rPr>
            </w:pPr>
          </w:p>
        </w:tc>
        <w:tc>
          <w:tcPr>
            <w:tcW w:w="1056" w:type="dxa"/>
            <w:vAlign w:val="center"/>
          </w:tcPr>
          <w:p>
            <w:pPr>
              <w:pStyle w:val="24"/>
              <w:spacing w:before="55" w:line="239" w:lineRule="auto"/>
              <w:ind w:right="72"/>
              <w:jc w:val="center"/>
              <w:rPr>
                <w:color w:val="auto"/>
              </w:rPr>
            </w:pPr>
            <w:r>
              <w:rPr>
                <w:color w:val="auto"/>
                <w:spacing w:val="-2"/>
              </w:rPr>
              <w:t>上弦、下弦通长水平系杆</w:t>
            </w:r>
          </w:p>
        </w:tc>
        <w:tc>
          <w:tcPr>
            <w:tcW w:w="6813" w:type="dxa"/>
            <w:vAlign w:val="top"/>
          </w:tcPr>
          <w:p>
            <w:pPr>
              <w:pStyle w:val="24"/>
              <w:spacing w:before="0" w:line="240" w:lineRule="auto"/>
              <w:ind w:right="0"/>
              <w:jc w:val="left"/>
              <w:rPr>
                <w:rFonts w:hint="eastAsia" w:eastAsia="宋体"/>
                <w:color w:val="auto"/>
                <w:lang w:eastAsia="zh-CN"/>
              </w:rPr>
            </w:pPr>
            <w:r>
              <w:rPr>
                <w:rFonts w:hint="eastAsia"/>
                <w:color w:val="auto"/>
                <w:spacing w:val="0"/>
                <w:lang w:eastAsia="zh-CN"/>
              </w:rPr>
              <w:t>无天窗时可不设置；当有天窗时在有天窗开洞范围内设一道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7" w:hRule="atLeast"/>
        </w:trPr>
        <w:tc>
          <w:tcPr>
            <w:tcW w:w="590" w:type="dxa"/>
            <w:vMerge w:val="continue"/>
            <w:vAlign w:val="top"/>
          </w:tcPr>
          <w:p>
            <w:pPr>
              <w:rPr>
                <w:rFonts w:ascii="Arial"/>
                <w:color w:val="auto"/>
                <w:sz w:val="21"/>
              </w:rPr>
            </w:pPr>
          </w:p>
        </w:tc>
        <w:tc>
          <w:tcPr>
            <w:tcW w:w="1056" w:type="dxa"/>
            <w:vAlign w:val="top"/>
          </w:tcPr>
          <w:p>
            <w:pPr>
              <w:pStyle w:val="24"/>
              <w:spacing w:before="103" w:line="231" w:lineRule="auto"/>
              <w:ind w:right="91"/>
              <w:rPr>
                <w:rFonts w:hint="eastAsia" w:eastAsia="宋体"/>
                <w:color w:val="auto"/>
                <w:lang w:eastAsia="zh-CN"/>
              </w:rPr>
            </w:pPr>
            <w:r>
              <w:rPr>
                <w:color w:val="auto"/>
                <w:spacing w:val="-4"/>
              </w:rPr>
              <w:t>端部</w:t>
            </w:r>
            <w:r>
              <w:rPr>
                <w:color w:val="auto"/>
                <w:spacing w:val="8"/>
              </w:rPr>
              <w:t>竖向</w:t>
            </w:r>
            <w:r>
              <w:rPr>
                <w:color w:val="auto"/>
                <w:spacing w:val="-2"/>
              </w:rPr>
              <w:t>支撑</w:t>
            </w:r>
          </w:p>
        </w:tc>
        <w:tc>
          <w:tcPr>
            <w:tcW w:w="6813" w:type="dxa"/>
            <w:vAlign w:val="top"/>
          </w:tcPr>
          <w:p>
            <w:pPr>
              <w:pStyle w:val="24"/>
              <w:spacing w:before="0" w:line="240" w:lineRule="auto"/>
              <w:jc w:val="left"/>
              <w:rPr>
                <w:rFonts w:hint="eastAsia" w:eastAsia="宋体"/>
                <w:color w:val="auto"/>
                <w:lang w:eastAsia="zh-CN"/>
              </w:rPr>
            </w:pPr>
            <w:r>
              <w:rPr>
                <w:rFonts w:hint="eastAsia"/>
                <w:color w:val="auto"/>
                <w:spacing w:val="0"/>
                <w:lang w:eastAsia="zh-CN"/>
              </w:rPr>
              <w:t>端部高</w:t>
            </w:r>
            <w:r>
              <w:rPr>
                <w:rFonts w:hint="eastAsia"/>
                <w:color w:val="auto"/>
                <w:spacing w:val="0"/>
                <w:w w:val="100"/>
                <w:lang w:eastAsia="zh-CN"/>
              </w:rPr>
              <w:t>度&gt;</w:t>
            </w:r>
            <w:r>
              <w:rPr>
                <w:rFonts w:hint="eastAsia"/>
                <w:color w:val="auto"/>
                <w:spacing w:val="0"/>
                <w:w w:val="100"/>
                <w:lang w:val="en-US" w:eastAsia="zh-CN"/>
              </w:rPr>
              <w:t>900</w:t>
            </w:r>
            <w:r>
              <w:rPr>
                <w:rFonts w:hint="eastAsia"/>
                <w:color w:val="auto"/>
                <w:spacing w:val="0"/>
                <w:w w:val="100"/>
                <w:lang w:eastAsia="zh-CN"/>
              </w:rPr>
              <w:t>mm</w:t>
            </w:r>
            <w:r>
              <w:rPr>
                <w:rFonts w:hint="eastAsia"/>
                <w:color w:val="auto"/>
                <w:spacing w:val="0"/>
                <w:w w:val="100"/>
                <w:lang w:val="en-US" w:eastAsia="zh-CN"/>
              </w:rPr>
              <w:t>时，</w:t>
            </w:r>
            <w:r>
              <w:rPr>
                <w:rFonts w:hint="eastAsia"/>
                <w:color w:val="auto"/>
                <w:spacing w:val="0"/>
                <w:lang w:eastAsia="zh-CN"/>
              </w:rPr>
              <w:t>单元端开间各设一道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90" w:type="dxa"/>
            <w:vMerge w:val="restart"/>
            <w:vAlign w:val="top"/>
          </w:tcPr>
          <w:p>
            <w:pPr>
              <w:pStyle w:val="24"/>
              <w:spacing w:before="55" w:line="219" w:lineRule="auto"/>
              <w:ind w:left="109" w:right="35" w:hanging="90"/>
              <w:rPr>
                <w:color w:val="auto"/>
              </w:rPr>
            </w:pPr>
            <w:r>
              <w:rPr>
                <w:color w:val="auto"/>
                <w:spacing w:val="-4"/>
              </w:rPr>
              <w:t>天窗架</w:t>
            </w:r>
            <w:r>
              <w:rPr>
                <w:color w:val="auto"/>
                <w:spacing w:val="-2"/>
              </w:rPr>
              <w:t>支撑</w:t>
            </w:r>
          </w:p>
        </w:tc>
        <w:tc>
          <w:tcPr>
            <w:tcW w:w="1056" w:type="dxa"/>
            <w:vAlign w:val="top"/>
          </w:tcPr>
          <w:p>
            <w:pPr>
              <w:pStyle w:val="24"/>
              <w:spacing w:before="55" w:line="219" w:lineRule="auto"/>
              <w:rPr>
                <w:color w:val="auto"/>
              </w:rPr>
            </w:pPr>
            <w:r>
              <w:rPr>
                <w:color w:val="auto"/>
                <w:spacing w:val="-1"/>
              </w:rPr>
              <w:t>上弦横向水平支撑</w:t>
            </w:r>
          </w:p>
        </w:tc>
        <w:tc>
          <w:tcPr>
            <w:tcW w:w="6813" w:type="dxa"/>
            <w:vAlign w:val="center"/>
          </w:tcPr>
          <w:p>
            <w:pPr>
              <w:pStyle w:val="24"/>
              <w:spacing w:before="0" w:line="240" w:lineRule="auto"/>
              <w:jc w:val="left"/>
              <w:rPr>
                <w:rFonts w:hint="eastAsia" w:eastAsia="宋体"/>
                <w:color w:val="auto"/>
                <w:lang w:eastAsia="zh-CN"/>
              </w:rPr>
            </w:pPr>
            <w:r>
              <w:rPr>
                <w:rFonts w:hint="eastAsia"/>
                <w:color w:val="auto"/>
                <w:spacing w:val="0"/>
                <w:lang w:eastAsia="zh-CN"/>
              </w:rPr>
              <w:t>天窗单元端开间各设一道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590" w:type="dxa"/>
            <w:vMerge w:val="continue"/>
            <w:vAlign w:val="top"/>
          </w:tcPr>
          <w:p>
            <w:pPr>
              <w:rPr>
                <w:rFonts w:ascii="Arial"/>
                <w:color w:val="auto"/>
                <w:sz w:val="21"/>
              </w:rPr>
            </w:pPr>
          </w:p>
        </w:tc>
        <w:tc>
          <w:tcPr>
            <w:tcW w:w="1056" w:type="dxa"/>
            <w:vAlign w:val="top"/>
          </w:tcPr>
          <w:p>
            <w:pPr>
              <w:pStyle w:val="24"/>
              <w:spacing w:before="56" w:line="219" w:lineRule="auto"/>
              <w:rPr>
                <w:color w:val="auto"/>
              </w:rPr>
            </w:pPr>
            <w:r>
              <w:rPr>
                <w:color w:val="auto"/>
                <w:spacing w:val="-2"/>
              </w:rPr>
              <w:t>天窗两侧竖向支撑</w:t>
            </w:r>
          </w:p>
        </w:tc>
        <w:tc>
          <w:tcPr>
            <w:tcW w:w="6813" w:type="dxa"/>
            <w:vAlign w:val="center"/>
          </w:tcPr>
          <w:p>
            <w:pPr>
              <w:pStyle w:val="24"/>
              <w:spacing w:before="0" w:line="240" w:lineRule="auto"/>
              <w:jc w:val="left"/>
              <w:rPr>
                <w:rFonts w:hint="eastAsia" w:eastAsia="宋体"/>
                <w:color w:val="auto"/>
                <w:lang w:eastAsia="zh-CN"/>
              </w:rPr>
            </w:pPr>
            <w:r>
              <w:rPr>
                <w:rFonts w:hint="eastAsia"/>
                <w:color w:val="auto"/>
                <w:lang w:eastAsia="zh-CN"/>
              </w:rPr>
              <w:t>天窗单元端开间及每隔30m各设一道</w:t>
            </w:r>
          </w:p>
        </w:tc>
      </w:tr>
    </w:tbl>
    <w:p>
      <w:pPr>
        <w:pStyle w:val="39"/>
        <w:bidi w:val="0"/>
        <w:rPr>
          <w:color w:val="auto"/>
        </w:rPr>
      </w:pPr>
      <w:r>
        <w:rPr>
          <w:color w:val="auto"/>
        </w:rPr>
        <w:t>注：1</w:t>
      </w:r>
      <w:r>
        <w:rPr>
          <w:rFonts w:hint="eastAsia"/>
          <w:color w:val="auto"/>
          <w:lang w:val="en-US" w:eastAsia="zh-CN"/>
        </w:rPr>
        <w:t xml:space="preserve"> </w:t>
      </w:r>
      <w:r>
        <w:rPr>
          <w:color w:val="auto"/>
        </w:rPr>
        <w:t>表中“单元”指</w:t>
      </w:r>
      <w:r>
        <w:rPr>
          <w:rFonts w:hint="eastAsia"/>
          <w:color w:val="auto"/>
          <w:lang w:eastAsia="zh-CN"/>
        </w:rPr>
        <w:t>建筑</w:t>
      </w:r>
      <w:r>
        <w:rPr>
          <w:color w:val="auto"/>
        </w:rPr>
        <w:t>独立结构单元；</w:t>
      </w:r>
    </w:p>
    <w:p>
      <w:pPr>
        <w:pStyle w:val="38"/>
        <w:bidi w:val="0"/>
        <w:rPr>
          <w:color w:val="auto"/>
        </w:rPr>
      </w:pPr>
      <w:r>
        <w:rPr>
          <w:color w:val="auto"/>
        </w:rPr>
        <w:t>2</w:t>
      </w:r>
      <w:r>
        <w:rPr>
          <w:rFonts w:hint="eastAsia"/>
          <w:color w:val="auto"/>
          <w:lang w:val="en-US" w:eastAsia="zh-CN"/>
        </w:rPr>
        <w:t xml:space="preserve"> </w:t>
      </w:r>
      <w:r>
        <w:rPr>
          <w:color w:val="auto"/>
        </w:rPr>
        <w:t>天窗跨度不小于12m 时，对于应设置两侧竖向支撑的天窗，尚应在天窗架中央增设竖向支撑；</w:t>
      </w:r>
    </w:p>
    <w:p>
      <w:pPr>
        <w:pStyle w:val="38"/>
        <w:bidi w:val="0"/>
        <w:rPr>
          <w:rFonts w:hint="eastAsia"/>
          <w:color w:val="auto"/>
          <w:lang w:eastAsia="zh-CN"/>
        </w:rPr>
      </w:pPr>
      <w:r>
        <w:rPr>
          <w:color w:val="auto"/>
        </w:rPr>
        <w:t>3</w:t>
      </w:r>
      <w:r>
        <w:rPr>
          <w:rFonts w:hint="eastAsia"/>
          <w:color w:val="auto"/>
          <w:lang w:val="en-US" w:eastAsia="zh-CN"/>
        </w:rPr>
        <w:t xml:space="preserve"> </w:t>
      </w:r>
      <w:r>
        <w:rPr>
          <w:color w:val="auto"/>
        </w:rPr>
        <w:t>设防烈度8度和9度时，跨度不大于15m 的</w:t>
      </w:r>
      <w:r>
        <w:rPr>
          <w:rFonts w:hint="eastAsia"/>
          <w:color w:val="auto"/>
          <w:lang w:eastAsia="zh-CN"/>
        </w:rPr>
        <w:t>建筑</w:t>
      </w:r>
      <w:r>
        <w:rPr>
          <w:color w:val="auto"/>
        </w:rPr>
        <w:t>屋盖采用屋面梁时，可仅在单元两端各设竖向支撑一道。 单坡屋面梁屋盖的支撑布置，宜按端部高度大于900mm 的屋盖支撑布置的规定采用</w:t>
      </w:r>
      <w:r>
        <w:rPr>
          <w:rFonts w:hint="eastAsia"/>
          <w:color w:val="auto"/>
          <w:lang w:eastAsia="zh-CN"/>
        </w:rPr>
        <w:t>。</w:t>
      </w:r>
    </w:p>
    <w:p>
      <w:pPr>
        <w:pStyle w:val="5"/>
        <w:bidi w:val="0"/>
        <w:ind w:left="0" w:leftChars="0" w:firstLine="0" w:firstLineChars="0"/>
        <w:rPr>
          <w:rFonts w:hint="eastAsia"/>
          <w:color w:val="auto"/>
          <w:lang w:eastAsia="zh-CN"/>
        </w:rPr>
      </w:pPr>
      <w:r>
        <w:rPr>
          <w:rFonts w:hint="eastAsia"/>
          <w:color w:val="auto"/>
          <w:lang w:val="en-US" w:eastAsia="zh-CN"/>
        </w:rPr>
        <w:t>混凝土排架结构</w:t>
      </w:r>
      <w:r>
        <w:rPr>
          <w:rFonts w:hint="eastAsia"/>
          <w:color w:val="auto"/>
          <w:lang w:eastAsia="zh-CN"/>
        </w:rPr>
        <w:t>屋盖支撑尚应符合下列要求：</w:t>
      </w:r>
    </w:p>
    <w:p>
      <w:pPr>
        <w:pStyle w:val="36"/>
        <w:bidi w:val="0"/>
        <w:rPr>
          <w:rFonts w:hint="eastAsia"/>
          <w:color w:val="auto"/>
          <w:lang w:eastAsia="zh-CN"/>
        </w:rPr>
      </w:pPr>
      <w:r>
        <w:rPr>
          <w:rFonts w:hint="eastAsia"/>
          <w:color w:val="auto"/>
          <w:lang w:eastAsia="zh-CN"/>
        </w:rPr>
        <w:t>天窗开洞范围内，在屋架脊点处应设上弦通长水平</w:t>
      </w:r>
      <w:r>
        <w:rPr>
          <w:rFonts w:hint="eastAsia"/>
          <w:color w:val="auto"/>
          <w:lang w:val="en-US" w:eastAsia="zh-CN"/>
        </w:rPr>
        <w:t>系杆</w:t>
      </w:r>
      <w:r>
        <w:rPr>
          <w:rFonts w:hint="eastAsia"/>
          <w:color w:val="auto"/>
          <w:lang w:eastAsia="zh-CN"/>
        </w:rPr>
        <w:t>。</w:t>
      </w:r>
    </w:p>
    <w:p>
      <w:pPr>
        <w:pStyle w:val="36"/>
        <w:bidi w:val="0"/>
        <w:rPr>
          <w:rFonts w:hint="eastAsia"/>
          <w:color w:val="auto"/>
          <w:lang w:eastAsia="zh-CN"/>
        </w:rPr>
      </w:pPr>
      <w:r>
        <w:rPr>
          <w:rFonts w:hint="eastAsia"/>
          <w:color w:val="auto"/>
          <w:lang w:eastAsia="zh-CN"/>
        </w:rPr>
        <w:t>屋架跨中竖向支撑在跨度方向的间距不大于15m，当仅在跨中设一道时，应设在跨中屋架屋脊处；当设二道时，应在跨度方向均匀布置。</w:t>
      </w:r>
    </w:p>
    <w:p>
      <w:pPr>
        <w:pStyle w:val="36"/>
        <w:bidi w:val="0"/>
        <w:rPr>
          <w:rFonts w:hint="eastAsia"/>
          <w:color w:val="auto"/>
          <w:lang w:eastAsia="zh-CN"/>
        </w:rPr>
      </w:pPr>
      <w:r>
        <w:rPr>
          <w:rFonts w:hint="eastAsia"/>
          <w:color w:val="auto"/>
          <w:lang w:eastAsia="zh-CN"/>
        </w:rPr>
        <w:t>屋架上、下弦通长水平系杆与竖向支撑</w:t>
      </w:r>
      <w:r>
        <w:rPr>
          <w:rFonts w:hint="eastAsia"/>
          <w:color w:val="auto"/>
          <w:lang w:val="en-US" w:eastAsia="zh-CN"/>
        </w:rPr>
        <w:t>应</w:t>
      </w:r>
      <w:r>
        <w:rPr>
          <w:rFonts w:hint="eastAsia"/>
          <w:color w:val="auto"/>
          <w:lang w:eastAsia="zh-CN"/>
        </w:rPr>
        <w:t>配合设置。</w:t>
      </w:r>
    </w:p>
    <w:p>
      <w:pPr>
        <w:pStyle w:val="36"/>
        <w:bidi w:val="0"/>
        <w:rPr>
          <w:rFonts w:hint="eastAsia"/>
          <w:color w:val="auto"/>
          <w:lang w:eastAsia="zh-CN"/>
        </w:rPr>
      </w:pPr>
      <w:r>
        <w:rPr>
          <w:rFonts w:hint="eastAsia"/>
          <w:color w:val="auto"/>
          <w:lang w:eastAsia="zh-CN"/>
        </w:rPr>
        <w:t>柱距不小于12m且屋架间距6m的建筑，托架（梁）区段及其相邻开间应设下弦纵向水平支撑。</w:t>
      </w:r>
    </w:p>
    <w:p>
      <w:pPr>
        <w:pStyle w:val="5"/>
        <w:bidi w:val="0"/>
        <w:ind w:left="0" w:leftChars="0" w:firstLine="0" w:firstLineChars="0"/>
        <w:rPr>
          <w:rFonts w:hint="default"/>
          <w:color w:val="auto"/>
          <w:lang w:val="en-US" w:eastAsia="zh-CN"/>
        </w:rPr>
      </w:pPr>
      <w:r>
        <w:rPr>
          <w:rFonts w:hint="eastAsia"/>
          <w:color w:val="auto"/>
          <w:lang w:val="en-US" w:eastAsia="zh-CN"/>
        </w:rPr>
        <w:t>混凝土排架结构</w:t>
      </w:r>
      <w:r>
        <w:rPr>
          <w:rFonts w:hint="default"/>
          <w:color w:val="auto"/>
          <w:lang w:val="en-US" w:eastAsia="zh-CN"/>
        </w:rPr>
        <w:t>的各纵向柱列，应在</w:t>
      </w:r>
      <w:r>
        <w:rPr>
          <w:rFonts w:hint="eastAsia"/>
          <w:color w:val="auto"/>
          <w:lang w:val="en-US" w:eastAsia="zh-CN"/>
        </w:rPr>
        <w:t>建筑</w:t>
      </w:r>
      <w:r>
        <w:rPr>
          <w:rFonts w:hint="default"/>
          <w:color w:val="auto"/>
          <w:lang w:val="en-US" w:eastAsia="zh-CN"/>
        </w:rPr>
        <w:t>单元中部布置一道</w:t>
      </w:r>
      <w:r>
        <w:rPr>
          <w:rFonts w:hint="eastAsia"/>
          <w:color w:val="auto"/>
          <w:lang w:val="en-US" w:eastAsia="zh-CN"/>
        </w:rPr>
        <w:t>上、</w:t>
      </w:r>
      <w:r>
        <w:rPr>
          <w:rFonts w:hint="default"/>
          <w:color w:val="auto"/>
          <w:lang w:val="en-US" w:eastAsia="zh-CN"/>
        </w:rPr>
        <w:t>下柱间支撑</w:t>
      </w:r>
      <w:r>
        <w:rPr>
          <w:rFonts w:hint="eastAsia"/>
          <w:color w:val="auto"/>
          <w:lang w:val="en-US" w:eastAsia="zh-CN"/>
        </w:rPr>
        <w:t>，且下柱支撑应与上柱支撑配套设置；建筑单元较长时，可在单元中部1/3区段内设置两道柱间支撑。</w:t>
      </w:r>
    </w:p>
    <w:p>
      <w:pPr>
        <w:pStyle w:val="5"/>
        <w:bidi w:val="0"/>
        <w:ind w:left="0" w:leftChars="0" w:firstLine="0" w:firstLineChars="0"/>
        <w:rPr>
          <w:rFonts w:hint="default"/>
          <w:color w:val="auto"/>
          <w:lang w:val="en-US" w:eastAsia="zh-CN"/>
        </w:rPr>
      </w:pPr>
      <w:bookmarkStart w:id="72" w:name="_Ref8060"/>
      <w:r>
        <w:rPr>
          <w:rFonts w:hint="eastAsia"/>
          <w:color w:val="auto"/>
          <w:lang w:val="en-US" w:eastAsia="zh-CN"/>
        </w:rPr>
        <w:t>钢筋混凝土构件尺寸应</w:t>
      </w:r>
      <w:r>
        <w:rPr>
          <w:rFonts w:hint="default"/>
          <w:color w:val="auto"/>
          <w:lang w:val="en-US" w:eastAsia="zh-CN"/>
        </w:rPr>
        <w:t>符合下列规定</w:t>
      </w:r>
      <w:bookmarkEnd w:id="72"/>
      <w:r>
        <w:rPr>
          <w:rFonts w:hint="eastAsia"/>
          <w:color w:val="auto"/>
          <w:lang w:val="en-US" w:eastAsia="zh-CN"/>
        </w:rPr>
        <w:t>：</w:t>
      </w:r>
    </w:p>
    <w:p>
      <w:pPr>
        <w:pStyle w:val="36"/>
        <w:bidi w:val="0"/>
        <w:rPr>
          <w:rFonts w:hint="eastAsia"/>
          <w:color w:val="auto"/>
        </w:rPr>
      </w:pPr>
      <w:r>
        <w:rPr>
          <w:rFonts w:hint="eastAsia"/>
          <w:color w:val="auto"/>
        </w:rPr>
        <w:t>梁的截面宽度不小于200mm</w:t>
      </w:r>
      <w:r>
        <w:rPr>
          <w:rFonts w:hint="eastAsia"/>
          <w:color w:val="auto"/>
          <w:lang w:eastAsia="zh-CN"/>
        </w:rPr>
        <w:t>，</w:t>
      </w:r>
      <w:r>
        <w:rPr>
          <w:rFonts w:hint="eastAsia"/>
          <w:color w:val="auto"/>
        </w:rPr>
        <w:t>梁截面的高宽比不大于4</w:t>
      </w:r>
      <w:r>
        <w:rPr>
          <w:rFonts w:hint="eastAsia"/>
          <w:color w:val="auto"/>
          <w:lang w:eastAsia="zh-CN"/>
        </w:rPr>
        <w:t>，</w:t>
      </w:r>
      <w:r>
        <w:rPr>
          <w:rFonts w:hint="eastAsia"/>
          <w:color w:val="auto"/>
        </w:rPr>
        <w:t>梁净跨与截面高度之比不小于4</w:t>
      </w:r>
      <w:r>
        <w:rPr>
          <w:rFonts w:hint="eastAsia"/>
          <w:color w:val="auto"/>
          <w:lang w:eastAsia="zh-CN"/>
        </w:rPr>
        <w:t>。</w:t>
      </w:r>
    </w:p>
    <w:p>
      <w:pPr>
        <w:pStyle w:val="36"/>
        <w:bidi w:val="0"/>
        <w:rPr>
          <w:rFonts w:hint="eastAsia"/>
          <w:color w:val="auto"/>
        </w:rPr>
      </w:pPr>
      <w:r>
        <w:rPr>
          <w:rFonts w:hint="eastAsia"/>
          <w:color w:val="auto"/>
          <w:lang w:val="en-US" w:eastAsia="zh-CN"/>
        </w:rPr>
        <w:t>矩形</w:t>
      </w:r>
      <w:r>
        <w:rPr>
          <w:rFonts w:hint="eastAsia"/>
          <w:color w:val="auto"/>
        </w:rPr>
        <w:t>截面柱的</w:t>
      </w:r>
      <w:r>
        <w:rPr>
          <w:rFonts w:hint="eastAsia"/>
          <w:color w:val="auto"/>
          <w:lang w:val="en-US" w:eastAsia="zh-CN"/>
        </w:rPr>
        <w:t>边长</w:t>
      </w:r>
      <w:r>
        <w:rPr>
          <w:rFonts w:hint="eastAsia"/>
          <w:color w:val="auto"/>
        </w:rPr>
        <w:t>不小于</w:t>
      </w:r>
      <w:r>
        <w:rPr>
          <w:rFonts w:hint="eastAsia"/>
          <w:color w:val="auto"/>
          <w:lang w:val="en-US" w:eastAsia="zh-CN"/>
        </w:rPr>
        <w:t>25</w:t>
      </w:r>
      <w:r>
        <w:rPr>
          <w:rFonts w:hint="eastAsia"/>
          <w:color w:val="auto"/>
        </w:rPr>
        <w:t>0mm</w:t>
      </w:r>
      <w:r>
        <w:rPr>
          <w:rFonts w:hint="eastAsia"/>
          <w:color w:val="auto"/>
          <w:lang w:eastAsia="zh-CN"/>
        </w:rPr>
        <w:t>，</w:t>
      </w:r>
      <w:r>
        <w:rPr>
          <w:rFonts w:hint="eastAsia"/>
          <w:color w:val="auto"/>
          <w:lang w:val="en-US" w:eastAsia="zh-CN"/>
        </w:rPr>
        <w:t>圆形截面柱的直径</w:t>
      </w:r>
      <w:r>
        <w:rPr>
          <w:rFonts w:hint="eastAsia"/>
          <w:color w:val="auto"/>
        </w:rPr>
        <w:t>不小于3</w:t>
      </w:r>
      <w:r>
        <w:rPr>
          <w:rFonts w:hint="eastAsia"/>
          <w:color w:val="auto"/>
          <w:lang w:val="en-US" w:eastAsia="zh-CN"/>
        </w:rPr>
        <w:t>5</w:t>
      </w:r>
      <w:r>
        <w:rPr>
          <w:rFonts w:hint="eastAsia"/>
          <w:color w:val="auto"/>
        </w:rPr>
        <w:t>0mm，</w:t>
      </w:r>
      <w:r>
        <w:rPr>
          <w:rFonts w:hint="default"/>
          <w:color w:val="auto"/>
          <w:lang w:val="en-US" w:eastAsia="zh-CN"/>
        </w:rPr>
        <w:t>柱截面高宽比不大于3</w:t>
      </w:r>
      <w:r>
        <w:rPr>
          <w:rFonts w:hint="eastAsia"/>
          <w:color w:val="auto"/>
          <w:lang w:val="en-US" w:eastAsia="zh-CN"/>
        </w:rPr>
        <w:t>。</w:t>
      </w:r>
    </w:p>
    <w:p>
      <w:pPr>
        <w:pStyle w:val="36"/>
        <w:bidi w:val="0"/>
        <w:rPr>
          <w:rFonts w:hint="eastAsia"/>
          <w:color w:val="auto"/>
        </w:rPr>
      </w:pPr>
      <w:r>
        <w:rPr>
          <w:rFonts w:hint="eastAsia"/>
          <w:color w:val="auto"/>
          <w:lang w:val="en-US" w:eastAsia="zh-CN"/>
        </w:rPr>
        <w:t>剪力墙</w:t>
      </w:r>
      <w:r>
        <w:rPr>
          <w:rFonts w:hint="eastAsia"/>
          <w:color w:val="auto"/>
        </w:rPr>
        <w:t>墙板厚度</w:t>
      </w:r>
      <w:r>
        <w:rPr>
          <w:rFonts w:hint="eastAsia"/>
          <w:color w:val="auto"/>
          <w:lang w:val="en-US" w:eastAsia="zh-CN"/>
        </w:rPr>
        <w:t>一般</w:t>
      </w:r>
      <w:r>
        <w:rPr>
          <w:rFonts w:hint="eastAsia"/>
          <w:color w:val="auto"/>
        </w:rPr>
        <w:t>不应小于1</w:t>
      </w:r>
      <w:r>
        <w:rPr>
          <w:rFonts w:hint="eastAsia"/>
          <w:color w:val="auto"/>
          <w:lang w:val="en-US" w:eastAsia="zh-CN"/>
        </w:rPr>
        <w:t>4</w:t>
      </w:r>
      <w:r>
        <w:rPr>
          <w:rFonts w:hint="eastAsia"/>
          <w:color w:val="auto"/>
        </w:rPr>
        <w:t>0mm 且不应小于层高的1/2</w:t>
      </w:r>
      <w:r>
        <w:rPr>
          <w:rFonts w:hint="eastAsia"/>
          <w:color w:val="auto"/>
          <w:lang w:val="en-US" w:eastAsia="zh-CN"/>
        </w:rPr>
        <w:t>5。</w:t>
      </w:r>
    </w:p>
    <w:p>
      <w:pPr>
        <w:pStyle w:val="36"/>
        <w:bidi w:val="0"/>
        <w:rPr>
          <w:rFonts w:hint="default"/>
          <w:color w:val="auto"/>
          <w:lang w:val="en-US" w:eastAsia="zh-CN"/>
        </w:rPr>
      </w:pPr>
      <w:r>
        <w:rPr>
          <w:rFonts w:hint="default"/>
          <w:color w:val="auto"/>
          <w:lang w:val="en-US" w:eastAsia="zh-CN"/>
        </w:rPr>
        <w:t>现浇钢筋混凝土实心楼板的厚度不应小于80mm，当板内预埋暗管时不小于100mm</w:t>
      </w:r>
      <w:r>
        <w:rPr>
          <w:rFonts w:hint="eastAsia"/>
          <w:color w:val="auto"/>
          <w:lang w:val="en-US" w:eastAsia="zh-CN"/>
        </w:rPr>
        <w:t>，</w:t>
      </w:r>
      <w:r>
        <w:rPr>
          <w:rFonts w:hint="default"/>
          <w:color w:val="auto"/>
          <w:lang w:val="en-US" w:eastAsia="zh-CN"/>
        </w:rPr>
        <w:t>顶层楼板厚度不小于120mm</w:t>
      </w:r>
      <w:r>
        <w:rPr>
          <w:rFonts w:hint="eastAsia"/>
          <w:color w:val="auto"/>
          <w:lang w:val="en-US" w:eastAsia="zh-CN"/>
        </w:rPr>
        <w:t>，</w:t>
      </w:r>
      <w:r>
        <w:rPr>
          <w:rFonts w:hint="default"/>
          <w:color w:val="auto"/>
          <w:lang w:val="en-US" w:eastAsia="zh-CN"/>
        </w:rPr>
        <w:t>现浇空心楼板的顶板、底板厚度均不应小于50mm</w:t>
      </w:r>
      <w:r>
        <w:rPr>
          <w:rFonts w:hint="eastAsia"/>
          <w:color w:val="auto"/>
          <w:lang w:val="en-US" w:eastAsia="zh-CN"/>
        </w:rPr>
        <w:t>；</w:t>
      </w:r>
      <w:r>
        <w:rPr>
          <w:rFonts w:hint="default"/>
          <w:color w:val="auto"/>
          <w:lang w:val="en-US" w:eastAsia="zh-CN"/>
        </w:rPr>
        <w:t>现浇预应力混凝土楼板厚度不小于150mm</w:t>
      </w:r>
      <w:r>
        <w:rPr>
          <w:rFonts w:hint="eastAsia"/>
          <w:color w:val="auto"/>
          <w:lang w:val="en-US" w:eastAsia="zh-CN"/>
        </w:rPr>
        <w:t>。</w:t>
      </w:r>
    </w:p>
    <w:p>
      <w:pPr>
        <w:pStyle w:val="36"/>
        <w:bidi w:val="0"/>
        <w:rPr>
          <w:rFonts w:hint="default"/>
          <w:color w:val="auto"/>
          <w:lang w:val="en-US" w:eastAsia="zh-CN"/>
        </w:rPr>
      </w:pPr>
      <w:r>
        <w:rPr>
          <w:rFonts w:hint="default"/>
          <w:color w:val="auto"/>
          <w:lang w:val="en-US" w:eastAsia="zh-CN"/>
        </w:rPr>
        <w:t>预制钢筋混凝土实心叠合楼板的预制底板及后浇混凝土厚度均不应小于50mm</w:t>
      </w:r>
      <w:r>
        <w:rPr>
          <w:rFonts w:hint="eastAsia"/>
          <w:color w:val="auto"/>
          <w:lang w:val="en-US" w:eastAsia="zh-CN"/>
        </w:rPr>
        <w:t>。</w:t>
      </w:r>
    </w:p>
    <w:p>
      <w:pPr>
        <w:pStyle w:val="36"/>
        <w:bidi w:val="0"/>
        <w:rPr>
          <w:rFonts w:hint="default"/>
          <w:color w:val="auto"/>
          <w:lang w:val="en-US" w:eastAsia="zh-CN"/>
        </w:rPr>
      </w:pPr>
      <w:r>
        <w:rPr>
          <w:rFonts w:hint="default"/>
          <w:color w:val="auto"/>
          <w:lang w:val="en-US" w:eastAsia="zh-CN"/>
        </w:rPr>
        <w:t>普通地下室顶板厚度不小于160mm</w:t>
      </w:r>
      <w:r>
        <w:rPr>
          <w:rFonts w:hint="eastAsia"/>
          <w:color w:val="auto"/>
          <w:lang w:val="en-US" w:eastAsia="zh-CN"/>
        </w:rPr>
        <w:t>，</w:t>
      </w:r>
      <w:r>
        <w:rPr>
          <w:rFonts w:hint="default"/>
          <w:color w:val="auto"/>
          <w:lang w:val="en-US" w:eastAsia="zh-CN"/>
        </w:rPr>
        <w:t>作为上部结构嵌固部位的地下室楼层的顶楼盖应采用梁板结构，楼板厚度不小于180mm</w:t>
      </w:r>
      <w:r>
        <w:rPr>
          <w:rFonts w:hint="eastAsia"/>
          <w:color w:val="auto"/>
          <w:lang w:val="en-US" w:eastAsia="zh-CN"/>
        </w:rPr>
        <w:t>。</w:t>
      </w:r>
    </w:p>
    <w:p>
      <w:pPr>
        <w:pStyle w:val="5"/>
        <w:bidi w:val="0"/>
        <w:ind w:left="0" w:leftChars="0" w:firstLine="0" w:firstLineChars="0"/>
        <w:rPr>
          <w:rFonts w:hint="default"/>
          <w:color w:val="auto"/>
          <w:lang w:val="en-US" w:eastAsia="zh-CN"/>
        </w:rPr>
      </w:pPr>
      <w:r>
        <w:rPr>
          <w:rFonts w:hint="eastAsia"/>
          <w:color w:val="auto"/>
          <w:lang w:val="en-US" w:eastAsia="zh-CN"/>
        </w:rPr>
        <w:t>民用建筑中易发生局部倒塌的构部件及其连接等应符合本导则第7.2节的有关规定。</w:t>
      </w:r>
    </w:p>
    <w:p>
      <w:pPr>
        <w:pStyle w:val="5"/>
        <w:bidi w:val="0"/>
        <w:ind w:left="0" w:leftChars="0" w:firstLine="0" w:firstLineChars="0"/>
        <w:rPr>
          <w:rFonts w:hint="default"/>
          <w:color w:val="auto"/>
          <w:lang w:val="en-US" w:eastAsia="zh-CN"/>
        </w:rPr>
      </w:pPr>
      <w:r>
        <w:rPr>
          <w:rFonts w:hint="eastAsia"/>
          <w:color w:val="auto"/>
          <w:lang w:val="en-US" w:eastAsia="zh-CN"/>
        </w:rPr>
        <w:t>多层混凝土结构顶点位移不超过结构顶点高度的1/200，单层混凝土结构顶点位移不超过结构顶点高度的1/150</w:t>
      </w:r>
      <w:r>
        <w:rPr>
          <w:rFonts w:hint="eastAsia"/>
          <w:color w:val="auto"/>
          <w:lang w:eastAsia="zh-CN"/>
        </w:rPr>
        <w:t>。</w:t>
      </w:r>
    </w:p>
    <w:p>
      <w:pPr>
        <w:pStyle w:val="29"/>
        <w:bidi w:val="0"/>
        <w:rPr>
          <w:rFonts w:hint="default"/>
          <w:color w:val="auto"/>
          <w:lang w:val="en-US" w:eastAsia="zh-CN"/>
        </w:rPr>
      </w:pPr>
      <w:r>
        <w:rPr>
          <w:rFonts w:hint="eastAsia"/>
          <w:color w:val="auto"/>
          <w:lang w:val="en-US" w:eastAsia="zh-CN"/>
        </w:rPr>
        <w:t>结构构件系统鉴定</w:t>
      </w:r>
    </w:p>
    <w:p>
      <w:pPr>
        <w:pStyle w:val="5"/>
        <w:bidi w:val="0"/>
        <w:ind w:left="0" w:leftChars="0" w:firstLine="0" w:firstLineChars="0"/>
        <w:rPr>
          <w:rFonts w:hint="eastAsia"/>
          <w:color w:val="auto"/>
          <w:lang w:val="en-US" w:eastAsia="zh-CN"/>
        </w:rPr>
      </w:pPr>
      <w:r>
        <w:rPr>
          <w:rFonts w:hint="eastAsia"/>
          <w:color w:val="auto"/>
          <w:lang w:val="en-US" w:eastAsia="zh-CN"/>
        </w:rPr>
        <w:t>混凝土结构构构件安全性鉴定，应根据构件位移变形、裂缝损伤两个检查项目，必要时结合验算项目，按照本导则第6.6节和本节相关规定进行综合评级。</w:t>
      </w:r>
    </w:p>
    <w:p>
      <w:pPr>
        <w:pStyle w:val="5"/>
        <w:bidi w:val="0"/>
        <w:ind w:left="0" w:leftChars="0" w:firstLine="0" w:firstLineChars="0"/>
        <w:rPr>
          <w:rFonts w:hint="eastAsia"/>
          <w:color w:val="auto"/>
          <w:lang w:val="en-US" w:eastAsia="zh-CN"/>
        </w:rPr>
      </w:pPr>
      <w:bookmarkStart w:id="73" w:name="_Ref15357"/>
      <w:r>
        <w:rPr>
          <w:rFonts w:hint="eastAsia"/>
          <w:color w:val="auto"/>
          <w:lang w:val="en-US" w:eastAsia="zh-CN"/>
        </w:rPr>
        <w:t>混凝土结构构件的安全性按位移变形评级，应符合下列规定：</w:t>
      </w:r>
    </w:p>
    <w:p>
      <w:pPr>
        <w:pStyle w:val="36"/>
        <w:bidi w:val="0"/>
        <w:rPr>
          <w:rFonts w:hint="eastAsia"/>
          <w:color w:val="auto"/>
          <w:lang w:val="en-US" w:eastAsia="zh-CN"/>
        </w:rPr>
      </w:pPr>
      <w:r>
        <w:rPr>
          <w:rFonts w:hint="eastAsia"/>
          <w:color w:val="auto"/>
          <w:lang w:val="en-US" w:eastAsia="zh-CN"/>
        </w:rPr>
        <w:t>除特别规定外，一般应按表</w:t>
      </w:r>
      <w:r>
        <w:rPr>
          <w:rFonts w:hint="default"/>
          <w:color w:val="auto"/>
          <w:lang w:val="en-US" w:eastAsia="zh-CN"/>
        </w:rPr>
        <w:fldChar w:fldCharType="begin"/>
      </w:r>
      <w:r>
        <w:rPr>
          <w:rFonts w:hint="default"/>
          <w:color w:val="auto"/>
          <w:lang w:val="en-US" w:eastAsia="zh-CN"/>
        </w:rPr>
        <w:instrText xml:space="preserve"> REF _Ref15357 \n \h </w:instrText>
      </w:r>
      <w:r>
        <w:rPr>
          <w:rFonts w:hint="default"/>
          <w:color w:val="auto"/>
          <w:lang w:val="en-US" w:eastAsia="zh-CN"/>
        </w:rPr>
        <w:fldChar w:fldCharType="separate"/>
      </w:r>
      <w:r>
        <w:rPr>
          <w:rFonts w:hint="default"/>
          <w:color w:val="auto"/>
          <w:lang w:val="en-US" w:eastAsia="zh-CN"/>
        </w:rPr>
        <w:t>7.3.11</w:t>
      </w:r>
      <w:r>
        <w:rPr>
          <w:rFonts w:hint="default"/>
          <w:color w:val="auto"/>
          <w:lang w:val="en-US" w:eastAsia="zh-CN"/>
        </w:rPr>
        <w:fldChar w:fldCharType="end"/>
      </w:r>
      <w:r>
        <w:rPr>
          <w:rFonts w:hint="eastAsia"/>
          <w:color w:val="auto"/>
          <w:lang w:val="en-US" w:eastAsia="zh-CN"/>
        </w:rPr>
        <w:t>-1</w:t>
      </w:r>
      <w:bookmarkEnd w:id="73"/>
      <w:r>
        <w:rPr>
          <w:rFonts w:hint="eastAsia"/>
          <w:color w:val="auto"/>
          <w:lang w:val="en-US" w:eastAsia="zh-CN"/>
        </w:rPr>
        <w:t>和表</w:t>
      </w:r>
      <w:r>
        <w:rPr>
          <w:rFonts w:hint="default"/>
          <w:color w:val="auto"/>
          <w:lang w:val="en-US" w:eastAsia="zh-CN"/>
        </w:rPr>
        <w:fldChar w:fldCharType="begin"/>
      </w:r>
      <w:r>
        <w:rPr>
          <w:rFonts w:hint="default"/>
          <w:color w:val="auto"/>
          <w:lang w:val="en-US" w:eastAsia="zh-CN"/>
        </w:rPr>
        <w:instrText xml:space="preserve"> REF _Ref15357 \n \h </w:instrText>
      </w:r>
      <w:r>
        <w:rPr>
          <w:rFonts w:hint="default"/>
          <w:color w:val="auto"/>
          <w:lang w:val="en-US" w:eastAsia="zh-CN"/>
        </w:rPr>
        <w:fldChar w:fldCharType="separate"/>
      </w:r>
      <w:r>
        <w:rPr>
          <w:rFonts w:hint="default"/>
          <w:color w:val="auto"/>
          <w:lang w:val="en-US" w:eastAsia="zh-CN"/>
        </w:rPr>
        <w:t>7.3.11</w:t>
      </w:r>
      <w:r>
        <w:rPr>
          <w:rFonts w:hint="default"/>
          <w:color w:val="auto"/>
          <w:lang w:val="en-US" w:eastAsia="zh-CN"/>
        </w:rPr>
        <w:fldChar w:fldCharType="end"/>
      </w:r>
      <w:r>
        <w:rPr>
          <w:rFonts w:hint="eastAsia"/>
          <w:color w:val="auto"/>
          <w:lang w:val="en-US" w:eastAsia="zh-CN"/>
        </w:rPr>
        <w:t>-2的规定评级；</w:t>
      </w:r>
    </w:p>
    <w:p>
      <w:pPr>
        <w:pStyle w:val="36"/>
        <w:bidi w:val="0"/>
        <w:rPr>
          <w:rFonts w:hint="eastAsia"/>
          <w:color w:val="auto"/>
          <w:lang w:val="en-US" w:eastAsia="zh-CN"/>
        </w:rPr>
      </w:pPr>
      <w:r>
        <w:rPr>
          <w:rFonts w:hint="eastAsia"/>
          <w:color w:val="auto"/>
          <w:lang w:val="en-US" w:eastAsia="zh-CN"/>
        </w:rPr>
        <w:t>对桁架的挠度，当其实测值大于其计算跨度的1/400时，应结合其承载力验算结果进行综合评级，验算应考虑由位移产生的附加应力的影响。</w:t>
      </w:r>
    </w:p>
    <w:p>
      <w:pPr>
        <w:pStyle w:val="25"/>
        <w:bidi w:val="0"/>
        <w:rPr>
          <w:rFonts w:hint="default"/>
          <w:color w:val="auto"/>
          <w:lang w:val="en-US" w:eastAsia="zh-CN"/>
        </w:rPr>
      </w:pPr>
      <w:r>
        <w:rPr>
          <w:rFonts w:hint="eastAsia"/>
          <w:color w:val="auto"/>
          <w:lang w:eastAsia="zh-CN"/>
        </w:rPr>
        <w:t>表</w:t>
      </w:r>
      <w:r>
        <w:rPr>
          <w:rFonts w:hint="default"/>
          <w:color w:val="auto"/>
          <w:lang w:val="en-US" w:eastAsia="zh-CN"/>
        </w:rPr>
        <w:fldChar w:fldCharType="begin"/>
      </w:r>
      <w:r>
        <w:rPr>
          <w:rFonts w:hint="default"/>
          <w:color w:val="auto"/>
          <w:lang w:val="en-US" w:eastAsia="zh-CN"/>
        </w:rPr>
        <w:instrText xml:space="preserve"> REF _Ref15357 \n \h </w:instrText>
      </w:r>
      <w:r>
        <w:rPr>
          <w:rFonts w:hint="default"/>
          <w:color w:val="auto"/>
          <w:lang w:val="en-US" w:eastAsia="zh-CN"/>
        </w:rPr>
        <w:fldChar w:fldCharType="separate"/>
      </w:r>
      <w:r>
        <w:rPr>
          <w:rFonts w:hint="default"/>
          <w:color w:val="auto"/>
          <w:lang w:val="en-US" w:eastAsia="zh-CN"/>
        </w:rPr>
        <w:t>7.3.11</w:t>
      </w:r>
      <w:r>
        <w:rPr>
          <w:rFonts w:hint="default"/>
          <w:color w:val="auto"/>
          <w:lang w:val="en-US" w:eastAsia="zh-CN"/>
        </w:rPr>
        <w:fldChar w:fldCharType="end"/>
      </w:r>
      <w:r>
        <w:rPr>
          <w:rFonts w:hint="eastAsia"/>
          <w:color w:val="auto"/>
          <w:lang w:val="en-US" w:eastAsia="zh-CN"/>
        </w:rPr>
        <w:t>-1</w:t>
      </w:r>
      <w:r>
        <w:rPr>
          <w:rFonts w:hint="eastAsia"/>
          <w:color w:val="auto"/>
          <w:lang w:eastAsia="zh-CN"/>
        </w:rPr>
        <w:t xml:space="preserve"> </w:t>
      </w:r>
      <w:r>
        <w:rPr>
          <w:rFonts w:hint="eastAsia"/>
          <w:color w:val="auto"/>
          <w:lang w:val="en-US" w:eastAsia="zh-CN"/>
        </w:rPr>
        <w:t>混凝土结构构件安全性按挠度评级</w:t>
      </w:r>
    </w:p>
    <w:tbl>
      <w:tblPr>
        <w:tblStyle w:val="2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78"/>
        <w:gridCol w:w="1144"/>
        <w:gridCol w:w="2382"/>
        <w:gridCol w:w="33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3" w:hRule="atLeast"/>
        </w:trPr>
        <w:tc>
          <w:tcPr>
            <w:tcW w:w="889" w:type="pct"/>
            <w:noWrap w:val="0"/>
            <w:vAlign w:val="center"/>
          </w:tcPr>
          <w:p>
            <w:pPr>
              <w:pStyle w:val="24"/>
              <w:bidi w:val="0"/>
              <w:rPr>
                <w:rFonts w:hint="eastAsia"/>
                <w:color w:val="auto"/>
                <w:lang w:eastAsia="zh-CN"/>
              </w:rPr>
            </w:pPr>
            <w:r>
              <w:rPr>
                <w:rFonts w:hint="eastAsia"/>
                <w:color w:val="auto"/>
                <w:lang w:eastAsia="zh-CN"/>
              </w:rPr>
              <w:t>检查项目</w:t>
            </w:r>
          </w:p>
        </w:tc>
        <w:tc>
          <w:tcPr>
            <w:tcW w:w="2120" w:type="pct"/>
            <w:gridSpan w:val="2"/>
            <w:noWrap w:val="0"/>
            <w:vAlign w:val="center"/>
          </w:tcPr>
          <w:p>
            <w:pPr>
              <w:pStyle w:val="24"/>
              <w:bidi w:val="0"/>
              <w:rPr>
                <w:rFonts w:hint="eastAsia"/>
                <w:color w:val="auto"/>
                <w:lang w:eastAsia="zh-CN"/>
              </w:rPr>
            </w:pPr>
            <w:r>
              <w:rPr>
                <w:rFonts w:hint="eastAsia"/>
                <w:color w:val="auto"/>
                <w:lang w:eastAsia="zh-CN"/>
              </w:rPr>
              <w:t>构件类别</w:t>
            </w:r>
          </w:p>
        </w:tc>
        <w:tc>
          <w:tcPr>
            <w:tcW w:w="1990" w:type="pct"/>
            <w:noWrap w:val="0"/>
            <w:vAlign w:val="center"/>
          </w:tcPr>
          <w:p>
            <w:pPr>
              <w:pStyle w:val="24"/>
              <w:bidi w:val="0"/>
              <w:rPr>
                <w:rFonts w:hint="eastAsia"/>
                <w:color w:val="auto"/>
                <w:lang w:val="en-US"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val="en-US" w:eastAsia="zh-CN"/>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889" w:type="pct"/>
            <w:vMerge w:val="restart"/>
            <w:tcBorders>
              <w:bottom w:val="nil"/>
            </w:tcBorders>
            <w:noWrap w:val="0"/>
            <w:vAlign w:val="center"/>
          </w:tcPr>
          <w:p>
            <w:pPr>
              <w:pStyle w:val="24"/>
              <w:bidi w:val="0"/>
              <w:rPr>
                <w:rFonts w:hint="eastAsia"/>
                <w:color w:val="auto"/>
                <w:lang w:eastAsia="zh-CN"/>
              </w:rPr>
            </w:pPr>
            <w:r>
              <w:rPr>
                <w:rFonts w:hint="eastAsia"/>
                <w:color w:val="auto"/>
                <w:lang w:eastAsia="zh-CN"/>
              </w:rPr>
              <w:t>挠度</w:t>
            </w:r>
          </w:p>
        </w:tc>
        <w:tc>
          <w:tcPr>
            <w:tcW w:w="2120" w:type="pct"/>
            <w:gridSpan w:val="2"/>
            <w:noWrap w:val="0"/>
            <w:vAlign w:val="center"/>
          </w:tcPr>
          <w:p>
            <w:pPr>
              <w:pStyle w:val="24"/>
              <w:bidi w:val="0"/>
              <w:ind w:firstLine="0" w:firstLineChars="0"/>
              <w:rPr>
                <w:rFonts w:hint="eastAsia"/>
                <w:color w:val="auto"/>
                <w:lang w:eastAsia="zh-CN"/>
              </w:rPr>
            </w:pPr>
            <w:r>
              <w:rPr>
                <w:rFonts w:hint="eastAsia"/>
                <w:color w:val="auto"/>
                <w:lang w:eastAsia="zh-CN"/>
              </w:rPr>
              <w:t>主梁、托梁</w:t>
            </w:r>
          </w:p>
        </w:tc>
        <w:tc>
          <w:tcPr>
            <w:tcW w:w="1990" w:type="pct"/>
            <w:noWrap w:val="0"/>
            <w:vAlign w:val="center"/>
          </w:tcPr>
          <w:p>
            <w:pPr>
              <w:pStyle w:val="24"/>
              <w:bidi w:val="0"/>
              <w:ind w:firstLine="0" w:firstLineChars="0"/>
              <w:rPr>
                <w:rFonts w:hint="default"/>
                <w:color w:val="auto"/>
                <w:lang w:val="en-US" w:eastAsia="zh-CN"/>
              </w:rPr>
            </w:pPr>
            <w:r>
              <w:rPr>
                <w:rFonts w:hint="eastAsia"/>
                <w:color w:val="auto"/>
                <w:lang w:val="en-US" w:eastAsia="zh-CN"/>
              </w:rPr>
              <w:t xml:space="preserve">&gt; </w:t>
            </w:r>
            <w:r>
              <w:rPr>
                <w:rFonts w:hint="default"/>
                <w:color w:val="auto"/>
                <w:lang w:val="en-US" w:eastAsia="zh-CN"/>
              </w:rPr>
              <w:t>l₀</w:t>
            </w:r>
            <w:r>
              <w:rPr>
                <w:rFonts w:hint="eastAsia"/>
                <w:color w:val="auto"/>
                <w:lang w:val="en-US" w:eastAsia="zh-CN"/>
              </w:rPr>
              <w:t>/200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889" w:type="pct"/>
            <w:vMerge w:val="continue"/>
            <w:tcBorders>
              <w:top w:val="nil"/>
              <w:bottom w:val="nil"/>
            </w:tcBorders>
            <w:noWrap w:val="0"/>
            <w:vAlign w:val="center"/>
          </w:tcPr>
          <w:p>
            <w:pPr>
              <w:pStyle w:val="24"/>
              <w:bidi w:val="0"/>
              <w:rPr>
                <w:rFonts w:hint="eastAsia"/>
                <w:color w:val="auto"/>
                <w:lang w:eastAsia="zh-CN"/>
              </w:rPr>
            </w:pPr>
          </w:p>
        </w:tc>
        <w:tc>
          <w:tcPr>
            <w:tcW w:w="688" w:type="pct"/>
            <w:vMerge w:val="restart"/>
            <w:tcBorders>
              <w:bottom w:val="nil"/>
            </w:tcBorders>
            <w:noWrap w:val="0"/>
            <w:vAlign w:val="center"/>
          </w:tcPr>
          <w:p>
            <w:pPr>
              <w:pStyle w:val="24"/>
              <w:bidi w:val="0"/>
              <w:rPr>
                <w:rFonts w:hint="eastAsia"/>
                <w:color w:val="auto"/>
                <w:lang w:eastAsia="zh-CN"/>
              </w:rPr>
            </w:pPr>
            <w:r>
              <w:rPr>
                <w:rFonts w:hint="eastAsia"/>
                <w:color w:val="auto"/>
                <w:lang w:eastAsia="zh-CN"/>
              </w:rPr>
              <w:t>一般受弯构件</w:t>
            </w:r>
          </w:p>
        </w:tc>
        <w:tc>
          <w:tcPr>
            <w:tcW w:w="1432" w:type="pct"/>
            <w:noWrap w:val="0"/>
            <w:vAlign w:val="center"/>
          </w:tcPr>
          <w:p>
            <w:pPr>
              <w:pStyle w:val="24"/>
              <w:bidi w:val="0"/>
              <w:rPr>
                <w:rFonts w:hint="eastAsia"/>
                <w:color w:val="auto"/>
                <w:lang w:eastAsia="zh-CN"/>
              </w:rPr>
            </w:pPr>
            <w:r>
              <w:rPr>
                <w:rFonts w:hint="eastAsia"/>
                <w:color w:val="auto"/>
                <w:lang w:eastAsia="zh-CN"/>
              </w:rPr>
              <w:t>l₀≤7m</w:t>
            </w:r>
          </w:p>
        </w:tc>
        <w:tc>
          <w:tcPr>
            <w:tcW w:w="1990" w:type="pct"/>
            <w:noWrap w:val="0"/>
            <w:vAlign w:val="center"/>
          </w:tcPr>
          <w:p>
            <w:pPr>
              <w:pStyle w:val="24"/>
              <w:bidi w:val="0"/>
              <w:rPr>
                <w:rFonts w:hint="default"/>
                <w:color w:val="auto"/>
                <w:lang w:val="en-US" w:eastAsia="zh-CN"/>
              </w:rPr>
            </w:pPr>
            <w:r>
              <w:rPr>
                <w:rFonts w:hint="eastAsia"/>
                <w:color w:val="auto"/>
                <w:lang w:val="en-US" w:eastAsia="zh-CN"/>
              </w:rPr>
              <w:t xml:space="preserve">&gt; </w:t>
            </w:r>
            <w:r>
              <w:rPr>
                <w:rFonts w:hint="default"/>
                <w:color w:val="auto"/>
                <w:lang w:val="en-US" w:eastAsia="zh-CN"/>
              </w:rPr>
              <w:t>l₀</w:t>
            </w:r>
            <w:r>
              <w:rPr>
                <w:rFonts w:hint="eastAsia"/>
                <w:color w:val="auto"/>
                <w:lang w:eastAsia="zh-CN"/>
              </w:rPr>
              <w:t>/120，或47mm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889" w:type="pct"/>
            <w:vMerge w:val="continue"/>
            <w:tcBorders>
              <w:top w:val="nil"/>
              <w:bottom w:val="nil"/>
            </w:tcBorders>
            <w:noWrap w:val="0"/>
            <w:vAlign w:val="center"/>
          </w:tcPr>
          <w:p>
            <w:pPr>
              <w:pStyle w:val="24"/>
              <w:bidi w:val="0"/>
              <w:rPr>
                <w:rFonts w:hint="eastAsia"/>
                <w:color w:val="auto"/>
                <w:lang w:eastAsia="zh-CN"/>
              </w:rPr>
            </w:pPr>
          </w:p>
        </w:tc>
        <w:tc>
          <w:tcPr>
            <w:tcW w:w="688" w:type="pct"/>
            <w:vMerge w:val="continue"/>
            <w:tcBorders>
              <w:top w:val="nil"/>
              <w:bottom w:val="nil"/>
            </w:tcBorders>
            <w:noWrap w:val="0"/>
            <w:vAlign w:val="center"/>
          </w:tcPr>
          <w:p>
            <w:pPr>
              <w:pStyle w:val="24"/>
              <w:bidi w:val="0"/>
              <w:rPr>
                <w:rFonts w:hint="eastAsia"/>
                <w:color w:val="auto"/>
                <w:lang w:eastAsia="zh-CN"/>
              </w:rPr>
            </w:pPr>
          </w:p>
        </w:tc>
        <w:tc>
          <w:tcPr>
            <w:tcW w:w="1432" w:type="pct"/>
            <w:noWrap w:val="0"/>
            <w:vAlign w:val="center"/>
          </w:tcPr>
          <w:p>
            <w:pPr>
              <w:pStyle w:val="24"/>
              <w:bidi w:val="0"/>
              <w:rPr>
                <w:rFonts w:hint="eastAsia"/>
                <w:color w:val="auto"/>
                <w:lang w:eastAsia="zh-CN"/>
              </w:rPr>
            </w:pPr>
            <w:r>
              <w:rPr>
                <w:rFonts w:hint="eastAsia"/>
                <w:color w:val="auto"/>
                <w:lang w:eastAsia="zh-CN"/>
              </w:rPr>
              <w:t>7m&lt;l₀≤9m</w:t>
            </w:r>
          </w:p>
        </w:tc>
        <w:tc>
          <w:tcPr>
            <w:tcW w:w="1990" w:type="pct"/>
            <w:noWrap w:val="0"/>
            <w:vAlign w:val="center"/>
          </w:tcPr>
          <w:p>
            <w:pPr>
              <w:pStyle w:val="24"/>
              <w:bidi w:val="0"/>
              <w:rPr>
                <w:rFonts w:hint="eastAsia"/>
                <w:color w:val="auto"/>
                <w:lang w:eastAsia="zh-CN"/>
              </w:rPr>
            </w:pPr>
            <w:r>
              <w:rPr>
                <w:rFonts w:hint="eastAsia"/>
                <w:color w:val="auto"/>
                <w:lang w:val="en-US" w:eastAsia="zh-CN"/>
              </w:rPr>
              <w:t xml:space="preserve">&gt; </w:t>
            </w:r>
            <w:r>
              <w:rPr>
                <w:rFonts w:hint="default"/>
                <w:color w:val="auto"/>
                <w:lang w:val="en-US" w:eastAsia="zh-CN"/>
              </w:rPr>
              <w:t>l₀</w:t>
            </w:r>
            <w:r>
              <w:rPr>
                <w:rFonts w:hint="eastAsia"/>
                <w:color w:val="auto"/>
                <w:lang w:eastAsia="zh-CN"/>
              </w:rPr>
              <w:t>/150，或50mm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 w:hRule="atLeast"/>
        </w:trPr>
        <w:tc>
          <w:tcPr>
            <w:tcW w:w="889" w:type="pct"/>
            <w:vMerge w:val="continue"/>
            <w:tcBorders>
              <w:top w:val="nil"/>
            </w:tcBorders>
            <w:noWrap w:val="0"/>
            <w:vAlign w:val="center"/>
          </w:tcPr>
          <w:p>
            <w:pPr>
              <w:pStyle w:val="24"/>
              <w:bidi w:val="0"/>
              <w:rPr>
                <w:rFonts w:hint="eastAsia"/>
                <w:color w:val="auto"/>
                <w:lang w:eastAsia="zh-CN"/>
              </w:rPr>
            </w:pPr>
          </w:p>
        </w:tc>
        <w:tc>
          <w:tcPr>
            <w:tcW w:w="688" w:type="pct"/>
            <w:vMerge w:val="continue"/>
            <w:tcBorders>
              <w:top w:val="nil"/>
            </w:tcBorders>
            <w:noWrap w:val="0"/>
            <w:vAlign w:val="center"/>
          </w:tcPr>
          <w:p>
            <w:pPr>
              <w:pStyle w:val="24"/>
              <w:bidi w:val="0"/>
              <w:rPr>
                <w:rFonts w:hint="eastAsia"/>
                <w:color w:val="auto"/>
                <w:lang w:eastAsia="zh-CN"/>
              </w:rPr>
            </w:pPr>
          </w:p>
        </w:tc>
        <w:tc>
          <w:tcPr>
            <w:tcW w:w="1432" w:type="pct"/>
            <w:noWrap w:val="0"/>
            <w:vAlign w:val="center"/>
          </w:tcPr>
          <w:p>
            <w:pPr>
              <w:pStyle w:val="24"/>
              <w:bidi w:val="0"/>
              <w:rPr>
                <w:rFonts w:hint="eastAsia"/>
                <w:color w:val="auto"/>
                <w:lang w:eastAsia="zh-CN"/>
              </w:rPr>
            </w:pPr>
            <w:r>
              <w:rPr>
                <w:rFonts w:hint="eastAsia"/>
                <w:color w:val="auto"/>
                <w:lang w:eastAsia="zh-CN"/>
              </w:rPr>
              <w:t>l₀&gt;9m</w:t>
            </w:r>
          </w:p>
        </w:tc>
        <w:tc>
          <w:tcPr>
            <w:tcW w:w="1990" w:type="pct"/>
            <w:noWrap w:val="0"/>
            <w:vAlign w:val="center"/>
          </w:tcPr>
          <w:p>
            <w:pPr>
              <w:pStyle w:val="24"/>
              <w:bidi w:val="0"/>
              <w:rPr>
                <w:rFonts w:hint="eastAsia"/>
                <w:color w:val="auto"/>
                <w:lang w:eastAsia="zh-CN"/>
              </w:rPr>
            </w:pPr>
            <w:r>
              <w:rPr>
                <w:rFonts w:hint="eastAsia"/>
                <w:color w:val="auto"/>
                <w:lang w:val="en-US" w:eastAsia="zh-CN"/>
              </w:rPr>
              <w:t xml:space="preserve">&gt; </w:t>
            </w:r>
            <w:r>
              <w:rPr>
                <w:rFonts w:hint="eastAsia"/>
                <w:color w:val="auto"/>
                <w:lang w:eastAsia="zh-CN"/>
              </w:rPr>
              <w:t>l₀/180</w:t>
            </w:r>
          </w:p>
        </w:tc>
      </w:tr>
    </w:tbl>
    <w:p>
      <w:pPr>
        <w:pStyle w:val="39"/>
        <w:bidi w:val="0"/>
        <w:rPr>
          <w:rFonts w:hint="default"/>
          <w:color w:val="auto"/>
          <w:lang w:val="en-US" w:eastAsia="zh-CN"/>
        </w:rPr>
      </w:pPr>
      <w:r>
        <w:rPr>
          <w:rFonts w:hint="default"/>
          <w:color w:val="auto"/>
        </w:rPr>
        <w:t>注：1</w:t>
      </w:r>
      <w:r>
        <w:rPr>
          <w:rFonts w:hint="eastAsia"/>
          <w:color w:val="auto"/>
          <w:lang w:val="en-US" w:eastAsia="zh-CN"/>
        </w:rPr>
        <w:t xml:space="preserve"> </w:t>
      </w:r>
      <w:r>
        <w:rPr>
          <w:rFonts w:hint="default"/>
          <w:color w:val="auto"/>
        </w:rPr>
        <w:t>表中l₀为计算跨度；</w:t>
      </w:r>
      <w:r>
        <w:rPr>
          <w:rFonts w:hint="default"/>
          <w:color w:val="auto"/>
          <w:lang w:val="en-US" w:eastAsia="zh-CN"/>
        </w:rPr>
        <w:t>计算悬臂构件的挠度限值时，其计算跨度按实际悬臂长度的2倍取用</w:t>
      </w:r>
      <w:r>
        <w:rPr>
          <w:rFonts w:hint="eastAsia"/>
          <w:color w:val="auto"/>
          <w:lang w:val="en-US" w:eastAsia="zh-CN"/>
        </w:rPr>
        <w:t>；</w:t>
      </w:r>
    </w:p>
    <w:p>
      <w:pPr>
        <w:pStyle w:val="38"/>
        <w:bidi w:val="0"/>
        <w:rPr>
          <w:rFonts w:hint="eastAsia"/>
          <w:color w:val="auto"/>
          <w:lang w:val="en-US" w:eastAsia="zh-CN"/>
        </w:rPr>
      </w:pPr>
      <w:r>
        <w:rPr>
          <w:rFonts w:hint="eastAsia"/>
          <w:color w:val="auto"/>
          <w:lang w:val="en-US" w:eastAsia="zh-CN"/>
        </w:rPr>
        <w:t xml:space="preserve">2 </w:t>
      </w:r>
      <w:r>
        <w:rPr>
          <w:rFonts w:hint="default"/>
          <w:color w:val="auto"/>
          <w:lang w:val="en-US" w:eastAsia="zh-CN"/>
        </w:rPr>
        <w:t>表中括号内的数值</w:t>
      </w:r>
      <w:r>
        <w:rPr>
          <w:rFonts w:hint="eastAsia"/>
          <w:color w:val="auto"/>
          <w:lang w:val="en-US" w:eastAsia="zh-CN"/>
        </w:rPr>
        <w:t>适用于</w:t>
      </w:r>
      <w:r>
        <w:rPr>
          <w:rFonts w:hint="default"/>
          <w:color w:val="auto"/>
          <w:lang w:val="en-US" w:eastAsia="zh-CN"/>
        </w:rPr>
        <w:t>使用上对挠度有较高要求的构件</w:t>
      </w:r>
      <w:r>
        <w:rPr>
          <w:rFonts w:hint="eastAsia"/>
          <w:color w:val="auto"/>
          <w:lang w:val="en-US" w:eastAsia="zh-CN"/>
        </w:rPr>
        <w:t>。</w:t>
      </w:r>
    </w:p>
    <w:p>
      <w:pPr>
        <w:pStyle w:val="25"/>
        <w:bidi w:val="0"/>
        <w:rPr>
          <w:color w:val="auto"/>
        </w:rPr>
      </w:pPr>
      <w:r>
        <w:rPr>
          <w:color w:val="auto"/>
        </w:rPr>
        <w:t>表</w:t>
      </w:r>
      <w:r>
        <w:rPr>
          <w:rFonts w:hint="default"/>
          <w:color w:val="auto"/>
          <w:lang w:val="en-US" w:eastAsia="zh-CN"/>
        </w:rPr>
        <w:fldChar w:fldCharType="begin"/>
      </w:r>
      <w:r>
        <w:rPr>
          <w:rFonts w:hint="default"/>
          <w:color w:val="auto"/>
          <w:lang w:val="en-US" w:eastAsia="zh-CN"/>
        </w:rPr>
        <w:instrText xml:space="preserve"> REF _Ref15357 \n \h </w:instrText>
      </w:r>
      <w:r>
        <w:rPr>
          <w:rFonts w:hint="default"/>
          <w:color w:val="auto"/>
          <w:lang w:val="en-US" w:eastAsia="zh-CN"/>
        </w:rPr>
        <w:fldChar w:fldCharType="separate"/>
      </w:r>
      <w:r>
        <w:rPr>
          <w:rFonts w:hint="default"/>
          <w:color w:val="auto"/>
          <w:lang w:val="en-US" w:eastAsia="zh-CN"/>
        </w:rPr>
        <w:t>7.3.11</w:t>
      </w:r>
      <w:r>
        <w:rPr>
          <w:rFonts w:hint="default"/>
          <w:color w:val="auto"/>
          <w:lang w:val="en-US" w:eastAsia="zh-CN"/>
        </w:rPr>
        <w:fldChar w:fldCharType="end"/>
      </w:r>
      <w:r>
        <w:rPr>
          <w:rFonts w:hint="eastAsia"/>
          <w:color w:val="auto"/>
          <w:lang w:val="en-US" w:eastAsia="zh-CN"/>
        </w:rPr>
        <w:t>-2 混凝土结构构件安全性按</w:t>
      </w:r>
      <w:r>
        <w:rPr>
          <w:color w:val="auto"/>
        </w:rPr>
        <w:t>侧向位移</w:t>
      </w:r>
      <w:r>
        <w:rPr>
          <w:rFonts w:hint="eastAsia"/>
          <w:color w:val="auto"/>
          <w:lang w:val="en-US" w:eastAsia="zh-CN"/>
        </w:rPr>
        <w:t>评级</w:t>
      </w:r>
    </w:p>
    <w:tbl>
      <w:tblPr>
        <w:tblStyle w:val="2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73"/>
        <w:gridCol w:w="41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509" w:type="pct"/>
            <w:vAlign w:val="top"/>
          </w:tcPr>
          <w:p>
            <w:pPr>
              <w:pStyle w:val="24"/>
              <w:bidi w:val="0"/>
              <w:rPr>
                <w:color w:val="auto"/>
              </w:rPr>
            </w:pPr>
            <w:r>
              <w:rPr>
                <w:color w:val="auto"/>
              </w:rPr>
              <w:t>结构类别</w:t>
            </w:r>
          </w:p>
        </w:tc>
        <w:tc>
          <w:tcPr>
            <w:tcW w:w="2490" w:type="pct"/>
            <w:vAlign w:val="center"/>
          </w:tcPr>
          <w:p>
            <w:pPr>
              <w:pStyle w:val="24"/>
              <w:bidi w:val="0"/>
              <w:ind w:firstLine="0" w:firstLineChars="0"/>
              <w:rPr>
                <w:rFonts w:hint="default" w:eastAsia="宋体"/>
                <w:color w:val="auto"/>
                <w:lang w:val="en-US"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val="en-US" w:eastAsia="zh-CN"/>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2509" w:type="pct"/>
            <w:vAlign w:val="top"/>
          </w:tcPr>
          <w:p>
            <w:pPr>
              <w:pStyle w:val="24"/>
              <w:bidi w:val="0"/>
              <w:rPr>
                <w:rFonts w:hint="default" w:eastAsia="宋体"/>
                <w:color w:val="auto"/>
                <w:lang w:val="en-US" w:eastAsia="zh-CN"/>
              </w:rPr>
            </w:pPr>
            <w:r>
              <w:rPr>
                <w:rFonts w:hint="eastAsia"/>
                <w:color w:val="auto"/>
                <w:lang w:val="en-US" w:eastAsia="zh-CN"/>
              </w:rPr>
              <w:t>混凝土结构</w:t>
            </w:r>
          </w:p>
        </w:tc>
        <w:tc>
          <w:tcPr>
            <w:tcW w:w="2490" w:type="pct"/>
            <w:vAlign w:val="top"/>
          </w:tcPr>
          <w:p>
            <w:pPr>
              <w:pStyle w:val="24"/>
              <w:bidi w:val="0"/>
              <w:ind w:firstLine="0" w:firstLineChars="0"/>
              <w:rPr>
                <w:color w:val="auto"/>
              </w:rPr>
            </w:pPr>
            <w:r>
              <w:rPr>
                <w:color w:val="auto"/>
              </w:rPr>
              <w:t>&gt;H</w:t>
            </w:r>
            <w:r>
              <w:rPr>
                <w:rFonts w:hint="eastAsia"/>
                <w:color w:val="auto"/>
                <w:lang w:val="en-US" w:eastAsia="zh-CN"/>
              </w:rPr>
              <w:t>i</w:t>
            </w:r>
            <w:r>
              <w:rPr>
                <w:color w:val="auto"/>
              </w:rPr>
              <w:t>/150</w:t>
            </w:r>
          </w:p>
        </w:tc>
      </w:tr>
    </w:tbl>
    <w:p>
      <w:pPr>
        <w:pStyle w:val="28"/>
        <w:bidi w:val="0"/>
        <w:rPr>
          <w:color w:val="auto"/>
        </w:rPr>
      </w:pPr>
      <w:r>
        <w:rPr>
          <w:color w:val="auto"/>
        </w:rPr>
        <w:t>注：表中H</w:t>
      </w:r>
      <w:r>
        <w:rPr>
          <w:rFonts w:hint="eastAsia"/>
          <w:color w:val="auto"/>
          <w:lang w:val="en-US" w:eastAsia="zh-CN"/>
        </w:rPr>
        <w:t>i</w:t>
      </w:r>
      <w:r>
        <w:rPr>
          <w:color w:val="auto"/>
        </w:rPr>
        <w:t>为第i层的层间高度。</w:t>
      </w:r>
    </w:p>
    <w:p>
      <w:pPr>
        <w:pStyle w:val="5"/>
        <w:bidi w:val="0"/>
        <w:ind w:left="0" w:leftChars="0" w:firstLine="0" w:firstLineChars="0"/>
        <w:rPr>
          <w:rFonts w:hint="eastAsia"/>
          <w:color w:val="auto"/>
          <w:lang w:val="en-US" w:eastAsia="zh-CN"/>
        </w:rPr>
      </w:pPr>
      <w:bookmarkStart w:id="74" w:name="_Ref15602"/>
      <w:r>
        <w:rPr>
          <w:rFonts w:hint="eastAsia"/>
          <w:color w:val="auto"/>
          <w:lang w:val="en-US" w:eastAsia="zh-CN"/>
        </w:rPr>
        <w:t>混凝土结构构件安全性按受力裂缝评级，</w:t>
      </w:r>
      <w:bookmarkEnd w:id="74"/>
      <w:r>
        <w:rPr>
          <w:rFonts w:hint="eastAsia"/>
          <w:color w:val="auto"/>
          <w:lang w:val="en-US" w:eastAsia="zh-CN"/>
        </w:rPr>
        <w:t>除特别规定外，应符合表</w:t>
      </w:r>
      <w:r>
        <w:rPr>
          <w:rFonts w:hint="eastAsia"/>
          <w:color w:val="auto"/>
          <w:lang w:val="en-US" w:eastAsia="zh-CN"/>
        </w:rPr>
        <w:fldChar w:fldCharType="begin"/>
      </w:r>
      <w:r>
        <w:rPr>
          <w:rFonts w:hint="eastAsia"/>
          <w:color w:val="auto"/>
          <w:lang w:val="en-US" w:eastAsia="zh-CN"/>
        </w:rPr>
        <w:instrText xml:space="preserve"> REF _Ref15602 \n \h </w:instrText>
      </w:r>
      <w:r>
        <w:rPr>
          <w:rFonts w:hint="eastAsia"/>
          <w:color w:val="auto"/>
          <w:lang w:val="en-US" w:eastAsia="zh-CN"/>
        </w:rPr>
        <w:fldChar w:fldCharType="separate"/>
      </w:r>
      <w:r>
        <w:rPr>
          <w:rFonts w:hint="eastAsia"/>
          <w:color w:val="auto"/>
          <w:lang w:val="en-US" w:eastAsia="zh-CN"/>
        </w:rPr>
        <w:t>7.3.12</w:t>
      </w:r>
      <w:r>
        <w:rPr>
          <w:rFonts w:hint="eastAsia"/>
          <w:color w:val="auto"/>
          <w:lang w:val="en-US" w:eastAsia="zh-CN"/>
        </w:rPr>
        <w:fldChar w:fldCharType="end"/>
      </w:r>
      <w:r>
        <w:rPr>
          <w:rFonts w:hint="eastAsia"/>
          <w:color w:val="auto"/>
          <w:lang w:val="en-US" w:eastAsia="zh-CN"/>
        </w:rPr>
        <w:t>规定。</w:t>
      </w:r>
    </w:p>
    <w:p>
      <w:pPr>
        <w:pStyle w:val="25"/>
        <w:bidi w:val="0"/>
        <w:rPr>
          <w:rFonts w:hint="default"/>
          <w:color w:val="auto"/>
          <w:lang w:val="en-US" w:eastAsia="zh-CN"/>
        </w:rPr>
      </w:pPr>
      <w:r>
        <w:rPr>
          <w:rFonts w:hint="default"/>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_Ref15602 \n \h </w:instrText>
      </w:r>
      <w:r>
        <w:rPr>
          <w:rFonts w:hint="eastAsia"/>
          <w:color w:val="auto"/>
          <w:lang w:val="en-US" w:eastAsia="zh-CN"/>
        </w:rPr>
        <w:fldChar w:fldCharType="separate"/>
      </w:r>
      <w:r>
        <w:rPr>
          <w:rFonts w:hint="eastAsia"/>
          <w:color w:val="auto"/>
          <w:lang w:val="en-US" w:eastAsia="zh-CN"/>
        </w:rPr>
        <w:t>7.3.12</w:t>
      </w:r>
      <w:r>
        <w:rPr>
          <w:rFonts w:hint="eastAsia"/>
          <w:color w:val="auto"/>
          <w:lang w:val="en-US" w:eastAsia="zh-CN"/>
        </w:rPr>
        <w:fldChar w:fldCharType="end"/>
      </w:r>
      <w:r>
        <w:rPr>
          <w:rFonts w:hint="default"/>
          <w:color w:val="auto"/>
          <w:lang w:val="en-US" w:eastAsia="zh-CN"/>
        </w:rPr>
        <w:t xml:space="preserve"> </w:t>
      </w:r>
      <w:r>
        <w:rPr>
          <w:rFonts w:hint="eastAsia"/>
          <w:color w:val="auto"/>
          <w:lang w:val="en-US" w:eastAsia="zh-CN"/>
        </w:rPr>
        <w:t>混凝土结构构件安全性按受力裂缝评级</w:t>
      </w:r>
    </w:p>
    <w:tbl>
      <w:tblPr>
        <w:tblStyle w:val="27"/>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93"/>
        <w:gridCol w:w="1155"/>
        <w:gridCol w:w="1687"/>
        <w:gridCol w:w="1288"/>
        <w:gridCol w:w="24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018" w:type="pct"/>
            <w:vAlign w:val="top"/>
          </w:tcPr>
          <w:p>
            <w:pPr>
              <w:pStyle w:val="24"/>
              <w:bidi w:val="0"/>
              <w:rPr>
                <w:rFonts w:hint="default"/>
                <w:color w:val="auto"/>
                <w:lang w:val="en-US" w:eastAsia="zh-CN"/>
              </w:rPr>
            </w:pPr>
            <w:r>
              <w:rPr>
                <w:rFonts w:hint="default"/>
                <w:color w:val="auto"/>
                <w:lang w:val="en-US" w:eastAsia="zh-CN"/>
              </w:rPr>
              <w:t>检查项目</w:t>
            </w:r>
          </w:p>
        </w:tc>
        <w:tc>
          <w:tcPr>
            <w:tcW w:w="694" w:type="pct"/>
            <w:vAlign w:val="top"/>
          </w:tcPr>
          <w:p>
            <w:pPr>
              <w:pStyle w:val="24"/>
              <w:bidi w:val="0"/>
              <w:rPr>
                <w:rFonts w:hint="default"/>
                <w:color w:val="auto"/>
                <w:lang w:val="en-US" w:eastAsia="zh-CN"/>
              </w:rPr>
            </w:pPr>
            <w:r>
              <w:rPr>
                <w:rFonts w:hint="default"/>
                <w:color w:val="auto"/>
                <w:lang w:val="en-US" w:eastAsia="zh-CN"/>
              </w:rPr>
              <w:t>环境</w:t>
            </w:r>
          </w:p>
        </w:tc>
        <w:tc>
          <w:tcPr>
            <w:tcW w:w="1788" w:type="pct"/>
            <w:gridSpan w:val="2"/>
            <w:vAlign w:val="top"/>
          </w:tcPr>
          <w:p>
            <w:pPr>
              <w:pStyle w:val="24"/>
              <w:bidi w:val="0"/>
              <w:rPr>
                <w:rFonts w:hint="default"/>
                <w:color w:val="auto"/>
                <w:lang w:val="en-US" w:eastAsia="zh-CN"/>
              </w:rPr>
            </w:pPr>
            <w:r>
              <w:rPr>
                <w:rFonts w:hint="default"/>
                <w:color w:val="auto"/>
                <w:lang w:val="en-US" w:eastAsia="zh-CN"/>
              </w:rPr>
              <w:t>构件类别</w:t>
            </w:r>
          </w:p>
        </w:tc>
        <w:tc>
          <w:tcPr>
            <w:tcW w:w="1497" w:type="pct"/>
            <w:vAlign w:val="top"/>
          </w:tcPr>
          <w:p>
            <w:pPr>
              <w:pStyle w:val="24"/>
              <w:bidi w:val="0"/>
              <w:rPr>
                <w:rFonts w:hint="eastAsia"/>
                <w:color w:val="auto"/>
                <w:lang w:val="en-US"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val="en-US" w:eastAsia="zh-CN"/>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18" w:type="pct"/>
            <w:vMerge w:val="restart"/>
            <w:tcBorders>
              <w:bottom w:val="nil"/>
            </w:tcBorders>
            <w:vAlign w:val="top"/>
          </w:tcPr>
          <w:p>
            <w:pPr>
              <w:pStyle w:val="24"/>
              <w:bidi w:val="0"/>
              <w:rPr>
                <w:rFonts w:hint="default"/>
                <w:color w:val="auto"/>
                <w:lang w:val="en-US" w:eastAsia="zh-CN"/>
              </w:rPr>
            </w:pPr>
          </w:p>
          <w:p>
            <w:pPr>
              <w:pStyle w:val="24"/>
              <w:bidi w:val="0"/>
              <w:rPr>
                <w:rFonts w:hint="default"/>
                <w:color w:val="auto"/>
                <w:lang w:val="en-US" w:eastAsia="zh-CN"/>
              </w:rPr>
            </w:pPr>
          </w:p>
          <w:p>
            <w:pPr>
              <w:pStyle w:val="24"/>
              <w:bidi w:val="0"/>
              <w:rPr>
                <w:rFonts w:hint="default"/>
                <w:color w:val="auto"/>
                <w:lang w:val="en-US" w:eastAsia="zh-CN"/>
              </w:rPr>
            </w:pPr>
            <w:r>
              <w:rPr>
                <w:rFonts w:hint="default"/>
                <w:color w:val="auto"/>
                <w:lang w:val="en-US" w:eastAsia="zh-CN"/>
              </w:rPr>
              <w:t>受力主筋处的弯曲裂缝、一般弯剪裂缝和受拉裂缝宽度(mm)</w:t>
            </w:r>
          </w:p>
        </w:tc>
        <w:tc>
          <w:tcPr>
            <w:tcW w:w="694" w:type="pct"/>
            <w:vMerge w:val="restart"/>
            <w:tcBorders>
              <w:bottom w:val="nil"/>
            </w:tcBorders>
            <w:vAlign w:val="center"/>
          </w:tcPr>
          <w:p>
            <w:pPr>
              <w:pStyle w:val="24"/>
              <w:bidi w:val="0"/>
              <w:rPr>
                <w:rFonts w:hint="default"/>
                <w:color w:val="auto"/>
                <w:lang w:val="en-US" w:eastAsia="zh-CN"/>
              </w:rPr>
            </w:pPr>
            <w:r>
              <w:rPr>
                <w:rFonts w:hint="default"/>
                <w:color w:val="auto"/>
                <w:lang w:val="en-US" w:eastAsia="zh-CN"/>
              </w:rPr>
              <w:t>室内正常环境</w:t>
            </w:r>
          </w:p>
        </w:tc>
        <w:tc>
          <w:tcPr>
            <w:tcW w:w="1014" w:type="pct"/>
            <w:vMerge w:val="restart"/>
            <w:tcBorders>
              <w:bottom w:val="nil"/>
            </w:tcBorders>
            <w:vAlign w:val="center"/>
          </w:tcPr>
          <w:p>
            <w:pPr>
              <w:pStyle w:val="24"/>
              <w:bidi w:val="0"/>
              <w:rPr>
                <w:rFonts w:hint="default"/>
                <w:color w:val="auto"/>
                <w:lang w:val="en-US" w:eastAsia="zh-CN"/>
              </w:rPr>
            </w:pPr>
            <w:r>
              <w:rPr>
                <w:rFonts w:hint="default"/>
                <w:color w:val="auto"/>
                <w:lang w:val="en-US" w:eastAsia="zh-CN"/>
              </w:rPr>
              <w:t>钢筋混凝土</w:t>
            </w:r>
          </w:p>
        </w:tc>
        <w:tc>
          <w:tcPr>
            <w:tcW w:w="774" w:type="pct"/>
            <w:vAlign w:val="center"/>
          </w:tcPr>
          <w:p>
            <w:pPr>
              <w:pStyle w:val="24"/>
              <w:bidi w:val="0"/>
              <w:rPr>
                <w:rFonts w:hint="default"/>
                <w:color w:val="auto"/>
                <w:lang w:val="en-US" w:eastAsia="zh-CN"/>
              </w:rPr>
            </w:pPr>
            <w:r>
              <w:rPr>
                <w:rFonts w:hint="default"/>
                <w:color w:val="auto"/>
                <w:lang w:val="en-US" w:eastAsia="zh-CN"/>
              </w:rPr>
              <w:t>主要构件</w:t>
            </w:r>
          </w:p>
        </w:tc>
        <w:tc>
          <w:tcPr>
            <w:tcW w:w="1497" w:type="pct"/>
            <w:vAlign w:val="center"/>
          </w:tcPr>
          <w:p>
            <w:pPr>
              <w:pStyle w:val="24"/>
              <w:bidi w:val="0"/>
              <w:rPr>
                <w:rFonts w:hint="default"/>
                <w:color w:val="auto"/>
                <w:lang w:val="en-US" w:eastAsia="zh-CN"/>
              </w:rPr>
            </w:pPr>
            <w:r>
              <w:rPr>
                <w:rFonts w:hint="default"/>
                <w:color w:val="auto"/>
              </w:rPr>
              <w:t>&gt;0.50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18" w:type="pct"/>
            <w:vMerge w:val="continue"/>
            <w:tcBorders>
              <w:top w:val="nil"/>
              <w:bottom w:val="nil"/>
            </w:tcBorders>
            <w:vAlign w:val="top"/>
          </w:tcPr>
          <w:p>
            <w:pPr>
              <w:pStyle w:val="24"/>
              <w:bidi w:val="0"/>
              <w:rPr>
                <w:rFonts w:hint="default"/>
                <w:color w:val="auto"/>
                <w:lang w:val="en-US" w:eastAsia="zh-CN"/>
              </w:rPr>
            </w:pPr>
          </w:p>
        </w:tc>
        <w:tc>
          <w:tcPr>
            <w:tcW w:w="694" w:type="pct"/>
            <w:vMerge w:val="continue"/>
            <w:tcBorders>
              <w:top w:val="nil"/>
              <w:bottom w:val="nil"/>
            </w:tcBorders>
            <w:vAlign w:val="center"/>
          </w:tcPr>
          <w:p>
            <w:pPr>
              <w:pStyle w:val="24"/>
              <w:bidi w:val="0"/>
              <w:rPr>
                <w:rFonts w:hint="default"/>
                <w:color w:val="auto"/>
                <w:lang w:val="en-US" w:eastAsia="zh-CN"/>
              </w:rPr>
            </w:pPr>
          </w:p>
        </w:tc>
        <w:tc>
          <w:tcPr>
            <w:tcW w:w="1014" w:type="pct"/>
            <w:vMerge w:val="continue"/>
            <w:tcBorders>
              <w:top w:val="nil"/>
            </w:tcBorders>
            <w:vAlign w:val="center"/>
          </w:tcPr>
          <w:p>
            <w:pPr>
              <w:pStyle w:val="24"/>
              <w:bidi w:val="0"/>
              <w:rPr>
                <w:rFonts w:hint="default"/>
                <w:color w:val="auto"/>
                <w:lang w:val="en-US" w:eastAsia="zh-CN"/>
              </w:rPr>
            </w:pPr>
          </w:p>
        </w:tc>
        <w:tc>
          <w:tcPr>
            <w:tcW w:w="774" w:type="pct"/>
            <w:vAlign w:val="center"/>
          </w:tcPr>
          <w:p>
            <w:pPr>
              <w:pStyle w:val="24"/>
              <w:bidi w:val="0"/>
              <w:rPr>
                <w:rFonts w:hint="default"/>
                <w:color w:val="auto"/>
                <w:lang w:val="en-US" w:eastAsia="zh-CN"/>
              </w:rPr>
            </w:pPr>
            <w:r>
              <w:rPr>
                <w:rFonts w:hint="default"/>
                <w:color w:val="auto"/>
                <w:lang w:val="en-US" w:eastAsia="zh-CN"/>
              </w:rPr>
              <w:t>一般构件</w:t>
            </w:r>
          </w:p>
        </w:tc>
        <w:tc>
          <w:tcPr>
            <w:tcW w:w="1497" w:type="pct"/>
            <w:vAlign w:val="center"/>
          </w:tcPr>
          <w:p>
            <w:pPr>
              <w:pStyle w:val="24"/>
              <w:bidi w:val="0"/>
              <w:rPr>
                <w:rFonts w:hint="default"/>
                <w:color w:val="auto"/>
                <w:lang w:val="en-US" w:eastAsia="zh-CN"/>
              </w:rPr>
            </w:pPr>
            <w:r>
              <w:rPr>
                <w:rFonts w:hint="default"/>
                <w:color w:val="auto"/>
              </w:rPr>
              <w:t>&gt;0.70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018" w:type="pct"/>
            <w:vMerge w:val="continue"/>
            <w:tcBorders>
              <w:top w:val="nil"/>
              <w:bottom w:val="nil"/>
            </w:tcBorders>
            <w:vAlign w:val="top"/>
          </w:tcPr>
          <w:p>
            <w:pPr>
              <w:pStyle w:val="24"/>
              <w:bidi w:val="0"/>
              <w:rPr>
                <w:rFonts w:hint="default"/>
                <w:color w:val="auto"/>
                <w:lang w:val="en-US" w:eastAsia="zh-CN"/>
              </w:rPr>
            </w:pPr>
          </w:p>
        </w:tc>
        <w:tc>
          <w:tcPr>
            <w:tcW w:w="694" w:type="pct"/>
            <w:vMerge w:val="continue"/>
            <w:tcBorders>
              <w:top w:val="nil"/>
              <w:bottom w:val="nil"/>
            </w:tcBorders>
            <w:vAlign w:val="center"/>
          </w:tcPr>
          <w:p>
            <w:pPr>
              <w:pStyle w:val="24"/>
              <w:bidi w:val="0"/>
              <w:rPr>
                <w:rFonts w:hint="default"/>
                <w:color w:val="auto"/>
                <w:lang w:val="en-US" w:eastAsia="zh-CN"/>
              </w:rPr>
            </w:pPr>
          </w:p>
        </w:tc>
        <w:tc>
          <w:tcPr>
            <w:tcW w:w="1014" w:type="pct"/>
            <w:vMerge w:val="restart"/>
            <w:tcBorders>
              <w:bottom w:val="nil"/>
            </w:tcBorders>
            <w:vAlign w:val="center"/>
          </w:tcPr>
          <w:p>
            <w:pPr>
              <w:pStyle w:val="24"/>
              <w:bidi w:val="0"/>
              <w:rPr>
                <w:rFonts w:hint="default"/>
                <w:color w:val="auto"/>
                <w:lang w:val="en-US" w:eastAsia="zh-CN"/>
              </w:rPr>
            </w:pPr>
            <w:r>
              <w:rPr>
                <w:rFonts w:hint="default"/>
                <w:color w:val="auto"/>
                <w:lang w:val="en-US" w:eastAsia="zh-CN"/>
              </w:rPr>
              <w:t>预应力混凝土</w:t>
            </w:r>
          </w:p>
        </w:tc>
        <w:tc>
          <w:tcPr>
            <w:tcW w:w="774" w:type="pct"/>
            <w:vAlign w:val="center"/>
          </w:tcPr>
          <w:p>
            <w:pPr>
              <w:pStyle w:val="24"/>
              <w:bidi w:val="0"/>
              <w:rPr>
                <w:rFonts w:hint="default"/>
                <w:color w:val="auto"/>
                <w:lang w:val="en-US" w:eastAsia="zh-CN"/>
              </w:rPr>
            </w:pPr>
            <w:r>
              <w:rPr>
                <w:rFonts w:hint="default"/>
                <w:color w:val="auto"/>
                <w:lang w:val="en-US" w:eastAsia="zh-CN"/>
              </w:rPr>
              <w:t>主要构件</w:t>
            </w:r>
          </w:p>
        </w:tc>
        <w:tc>
          <w:tcPr>
            <w:tcW w:w="1497" w:type="pct"/>
            <w:vAlign w:val="center"/>
          </w:tcPr>
          <w:p>
            <w:pPr>
              <w:pStyle w:val="24"/>
              <w:bidi w:val="0"/>
              <w:rPr>
                <w:rFonts w:hint="default"/>
                <w:color w:val="auto"/>
                <w:lang w:val="en-US" w:eastAsia="zh-CN"/>
              </w:rPr>
            </w:pPr>
            <w:r>
              <w:rPr>
                <w:rFonts w:hint="default"/>
                <w:color w:val="auto"/>
              </w:rPr>
              <w:t>&gt;0.20(0.30)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18" w:type="pct"/>
            <w:vMerge w:val="continue"/>
            <w:tcBorders>
              <w:top w:val="nil"/>
              <w:bottom w:val="nil"/>
            </w:tcBorders>
            <w:vAlign w:val="top"/>
          </w:tcPr>
          <w:p>
            <w:pPr>
              <w:pStyle w:val="24"/>
              <w:bidi w:val="0"/>
              <w:rPr>
                <w:rFonts w:hint="default"/>
                <w:color w:val="auto"/>
                <w:lang w:val="en-US" w:eastAsia="zh-CN"/>
              </w:rPr>
            </w:pPr>
          </w:p>
        </w:tc>
        <w:tc>
          <w:tcPr>
            <w:tcW w:w="694" w:type="pct"/>
            <w:vMerge w:val="continue"/>
            <w:tcBorders>
              <w:top w:val="nil"/>
            </w:tcBorders>
            <w:vAlign w:val="center"/>
          </w:tcPr>
          <w:p>
            <w:pPr>
              <w:pStyle w:val="24"/>
              <w:bidi w:val="0"/>
              <w:rPr>
                <w:rFonts w:hint="default"/>
                <w:color w:val="auto"/>
                <w:lang w:val="en-US" w:eastAsia="zh-CN"/>
              </w:rPr>
            </w:pPr>
          </w:p>
        </w:tc>
        <w:tc>
          <w:tcPr>
            <w:tcW w:w="1014" w:type="pct"/>
            <w:vMerge w:val="continue"/>
            <w:tcBorders>
              <w:top w:val="nil"/>
            </w:tcBorders>
            <w:vAlign w:val="center"/>
          </w:tcPr>
          <w:p>
            <w:pPr>
              <w:pStyle w:val="24"/>
              <w:bidi w:val="0"/>
              <w:rPr>
                <w:rFonts w:hint="default"/>
                <w:color w:val="auto"/>
                <w:lang w:val="en-US" w:eastAsia="zh-CN"/>
              </w:rPr>
            </w:pPr>
          </w:p>
        </w:tc>
        <w:tc>
          <w:tcPr>
            <w:tcW w:w="774" w:type="pct"/>
            <w:vAlign w:val="center"/>
          </w:tcPr>
          <w:p>
            <w:pPr>
              <w:pStyle w:val="24"/>
              <w:bidi w:val="0"/>
              <w:rPr>
                <w:rFonts w:hint="default"/>
                <w:color w:val="auto"/>
                <w:lang w:val="en-US" w:eastAsia="zh-CN"/>
              </w:rPr>
            </w:pPr>
            <w:r>
              <w:rPr>
                <w:rFonts w:hint="default"/>
                <w:color w:val="auto"/>
                <w:lang w:val="en-US" w:eastAsia="zh-CN"/>
              </w:rPr>
              <w:t>一般构件</w:t>
            </w:r>
          </w:p>
        </w:tc>
        <w:tc>
          <w:tcPr>
            <w:tcW w:w="1497" w:type="pct"/>
            <w:vAlign w:val="center"/>
          </w:tcPr>
          <w:p>
            <w:pPr>
              <w:pStyle w:val="24"/>
              <w:bidi w:val="0"/>
              <w:rPr>
                <w:rFonts w:hint="default"/>
                <w:color w:val="auto"/>
                <w:lang w:val="en-US" w:eastAsia="zh-CN"/>
              </w:rPr>
            </w:pPr>
            <w:r>
              <w:rPr>
                <w:rFonts w:hint="default"/>
                <w:color w:val="auto"/>
              </w:rPr>
              <w:t>&gt;0.30(0.50)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18" w:type="pct"/>
            <w:vMerge w:val="continue"/>
            <w:tcBorders>
              <w:top w:val="nil"/>
              <w:bottom w:val="nil"/>
            </w:tcBorders>
            <w:vAlign w:val="top"/>
          </w:tcPr>
          <w:p>
            <w:pPr>
              <w:pStyle w:val="24"/>
              <w:bidi w:val="0"/>
              <w:rPr>
                <w:rFonts w:hint="default"/>
                <w:color w:val="auto"/>
                <w:lang w:val="en-US" w:eastAsia="zh-CN"/>
              </w:rPr>
            </w:pPr>
          </w:p>
        </w:tc>
        <w:tc>
          <w:tcPr>
            <w:tcW w:w="694" w:type="pct"/>
            <w:vMerge w:val="restart"/>
            <w:tcBorders>
              <w:bottom w:val="nil"/>
            </w:tcBorders>
            <w:vAlign w:val="center"/>
          </w:tcPr>
          <w:p>
            <w:pPr>
              <w:pStyle w:val="24"/>
              <w:bidi w:val="0"/>
              <w:rPr>
                <w:rFonts w:hint="default"/>
                <w:color w:val="auto"/>
                <w:lang w:val="en-US" w:eastAsia="zh-CN"/>
              </w:rPr>
            </w:pPr>
            <w:r>
              <w:rPr>
                <w:rFonts w:hint="default"/>
                <w:color w:val="auto"/>
                <w:lang w:val="en-US" w:eastAsia="zh-CN"/>
              </w:rPr>
              <w:t>高湿度环境</w:t>
            </w:r>
          </w:p>
        </w:tc>
        <w:tc>
          <w:tcPr>
            <w:tcW w:w="1014" w:type="pct"/>
            <w:vAlign w:val="center"/>
          </w:tcPr>
          <w:p>
            <w:pPr>
              <w:pStyle w:val="24"/>
              <w:bidi w:val="0"/>
              <w:rPr>
                <w:rFonts w:hint="default"/>
                <w:color w:val="auto"/>
                <w:lang w:val="en-US" w:eastAsia="zh-CN"/>
              </w:rPr>
            </w:pPr>
            <w:r>
              <w:rPr>
                <w:rFonts w:hint="default"/>
                <w:color w:val="auto"/>
                <w:lang w:val="en-US" w:eastAsia="zh-CN"/>
              </w:rPr>
              <w:t>钢筋混凝土</w:t>
            </w:r>
          </w:p>
        </w:tc>
        <w:tc>
          <w:tcPr>
            <w:tcW w:w="774" w:type="pct"/>
            <w:vMerge w:val="restart"/>
            <w:tcBorders>
              <w:bottom w:val="nil"/>
            </w:tcBorders>
            <w:vAlign w:val="center"/>
          </w:tcPr>
          <w:p>
            <w:pPr>
              <w:pStyle w:val="24"/>
              <w:bidi w:val="0"/>
              <w:rPr>
                <w:rFonts w:hint="default"/>
                <w:color w:val="auto"/>
                <w:lang w:val="en-US" w:eastAsia="zh-CN"/>
              </w:rPr>
            </w:pPr>
            <w:r>
              <w:rPr>
                <w:rFonts w:hint="default"/>
                <w:color w:val="auto"/>
                <w:lang w:val="en-US" w:eastAsia="zh-CN"/>
              </w:rPr>
              <w:t>任何构件</w:t>
            </w:r>
          </w:p>
        </w:tc>
        <w:tc>
          <w:tcPr>
            <w:tcW w:w="1497" w:type="pct"/>
            <w:vAlign w:val="center"/>
          </w:tcPr>
          <w:p>
            <w:pPr>
              <w:pStyle w:val="24"/>
              <w:bidi w:val="0"/>
              <w:rPr>
                <w:rFonts w:hint="default"/>
                <w:color w:val="auto"/>
                <w:lang w:val="en-US" w:eastAsia="zh-CN"/>
              </w:rPr>
            </w:pPr>
            <w:r>
              <w:rPr>
                <w:rFonts w:hint="default"/>
                <w:color w:val="auto"/>
              </w:rPr>
              <w:t>&gt;0.40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18" w:type="pct"/>
            <w:vMerge w:val="continue"/>
            <w:tcBorders>
              <w:top w:val="nil"/>
            </w:tcBorders>
            <w:vAlign w:val="top"/>
          </w:tcPr>
          <w:p>
            <w:pPr>
              <w:pStyle w:val="24"/>
              <w:bidi w:val="0"/>
              <w:rPr>
                <w:rFonts w:hint="default"/>
                <w:color w:val="auto"/>
                <w:lang w:val="en-US" w:eastAsia="zh-CN"/>
              </w:rPr>
            </w:pPr>
          </w:p>
        </w:tc>
        <w:tc>
          <w:tcPr>
            <w:tcW w:w="694" w:type="pct"/>
            <w:vMerge w:val="continue"/>
            <w:tcBorders>
              <w:top w:val="nil"/>
            </w:tcBorders>
            <w:vAlign w:val="center"/>
          </w:tcPr>
          <w:p>
            <w:pPr>
              <w:pStyle w:val="24"/>
              <w:bidi w:val="0"/>
              <w:rPr>
                <w:rFonts w:hint="default"/>
                <w:color w:val="auto"/>
                <w:lang w:val="en-US" w:eastAsia="zh-CN"/>
              </w:rPr>
            </w:pPr>
          </w:p>
        </w:tc>
        <w:tc>
          <w:tcPr>
            <w:tcW w:w="1014" w:type="pct"/>
            <w:vAlign w:val="center"/>
          </w:tcPr>
          <w:p>
            <w:pPr>
              <w:pStyle w:val="24"/>
              <w:bidi w:val="0"/>
              <w:rPr>
                <w:rFonts w:hint="default"/>
                <w:color w:val="auto"/>
                <w:lang w:val="en-US" w:eastAsia="zh-CN"/>
              </w:rPr>
            </w:pPr>
            <w:r>
              <w:rPr>
                <w:rFonts w:hint="default"/>
                <w:color w:val="auto"/>
                <w:lang w:val="en-US" w:eastAsia="zh-CN"/>
              </w:rPr>
              <w:t>预应力混凝土</w:t>
            </w:r>
          </w:p>
        </w:tc>
        <w:tc>
          <w:tcPr>
            <w:tcW w:w="774" w:type="pct"/>
            <w:vMerge w:val="continue"/>
            <w:tcBorders>
              <w:top w:val="nil"/>
            </w:tcBorders>
            <w:vAlign w:val="center"/>
          </w:tcPr>
          <w:p>
            <w:pPr>
              <w:pStyle w:val="24"/>
              <w:bidi w:val="0"/>
              <w:rPr>
                <w:rFonts w:hint="default"/>
                <w:color w:val="auto"/>
                <w:lang w:val="en-US" w:eastAsia="zh-CN"/>
              </w:rPr>
            </w:pPr>
          </w:p>
        </w:tc>
        <w:tc>
          <w:tcPr>
            <w:tcW w:w="1497" w:type="pct"/>
            <w:vAlign w:val="center"/>
          </w:tcPr>
          <w:p>
            <w:pPr>
              <w:pStyle w:val="24"/>
              <w:bidi w:val="0"/>
              <w:rPr>
                <w:rFonts w:hint="default"/>
                <w:color w:val="auto"/>
                <w:lang w:val="en-US" w:eastAsia="zh-CN"/>
              </w:rPr>
            </w:pPr>
            <w:r>
              <w:rPr>
                <w:rFonts w:hint="default"/>
                <w:color w:val="auto"/>
              </w:rPr>
              <w:t>&gt;0.10(0.20)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trPr>
        <w:tc>
          <w:tcPr>
            <w:tcW w:w="1018" w:type="pct"/>
            <w:vAlign w:val="top"/>
          </w:tcPr>
          <w:p>
            <w:pPr>
              <w:pStyle w:val="24"/>
              <w:bidi w:val="0"/>
              <w:rPr>
                <w:rFonts w:hint="default"/>
                <w:color w:val="auto"/>
                <w:lang w:val="en-US" w:eastAsia="zh-CN"/>
              </w:rPr>
            </w:pPr>
            <w:r>
              <w:rPr>
                <w:rFonts w:hint="default"/>
                <w:color w:val="auto"/>
                <w:lang w:val="en-US" w:eastAsia="zh-CN"/>
              </w:rPr>
              <w:t>剪切裂缝和受压裂缝(mm)</w:t>
            </w:r>
          </w:p>
        </w:tc>
        <w:tc>
          <w:tcPr>
            <w:tcW w:w="694" w:type="pct"/>
            <w:vAlign w:val="center"/>
          </w:tcPr>
          <w:p>
            <w:pPr>
              <w:pStyle w:val="24"/>
              <w:bidi w:val="0"/>
              <w:rPr>
                <w:rFonts w:hint="default"/>
                <w:color w:val="auto"/>
                <w:lang w:val="en-US" w:eastAsia="zh-CN"/>
              </w:rPr>
            </w:pPr>
            <w:r>
              <w:rPr>
                <w:rFonts w:hint="default"/>
                <w:color w:val="auto"/>
                <w:lang w:val="en-US" w:eastAsia="zh-CN"/>
              </w:rPr>
              <w:t>任何环境</w:t>
            </w:r>
          </w:p>
        </w:tc>
        <w:tc>
          <w:tcPr>
            <w:tcW w:w="1788" w:type="pct"/>
            <w:gridSpan w:val="2"/>
            <w:vAlign w:val="center"/>
          </w:tcPr>
          <w:p>
            <w:pPr>
              <w:pStyle w:val="24"/>
              <w:bidi w:val="0"/>
              <w:rPr>
                <w:rFonts w:hint="default"/>
                <w:color w:val="auto"/>
                <w:lang w:val="en-US" w:eastAsia="zh-CN"/>
              </w:rPr>
            </w:pPr>
            <w:r>
              <w:rPr>
                <w:rFonts w:hint="default"/>
                <w:color w:val="auto"/>
                <w:lang w:val="en-US" w:eastAsia="zh-CN"/>
              </w:rPr>
              <w:t>钢筋混凝土或预应力混凝土</w:t>
            </w:r>
          </w:p>
        </w:tc>
        <w:tc>
          <w:tcPr>
            <w:tcW w:w="1497" w:type="pct"/>
            <w:vAlign w:val="center"/>
          </w:tcPr>
          <w:p>
            <w:pPr>
              <w:pStyle w:val="24"/>
              <w:bidi w:val="0"/>
              <w:rPr>
                <w:rFonts w:hint="default"/>
                <w:color w:val="auto"/>
                <w:lang w:val="en-US" w:eastAsia="zh-CN"/>
              </w:rPr>
            </w:pPr>
            <w:r>
              <w:rPr>
                <w:rFonts w:hint="default"/>
                <w:color w:val="auto"/>
                <w:lang w:val="en-US" w:eastAsia="zh-CN"/>
              </w:rPr>
              <w:t>出现裂缝</w:t>
            </w:r>
          </w:p>
        </w:tc>
      </w:tr>
    </w:tbl>
    <w:p>
      <w:pPr>
        <w:pStyle w:val="39"/>
        <w:bidi w:val="0"/>
        <w:rPr>
          <w:rFonts w:hint="eastAsia"/>
          <w:color w:val="auto"/>
          <w:lang w:eastAsia="zh-CN"/>
        </w:rPr>
      </w:pPr>
      <w:r>
        <w:rPr>
          <w:rFonts w:hint="eastAsia"/>
          <w:color w:val="auto"/>
        </w:rPr>
        <w:t>注：1 表中的剪切裂缝系指斜拉裂缝和斜压裂缝</w:t>
      </w:r>
      <w:r>
        <w:rPr>
          <w:rFonts w:hint="eastAsia"/>
          <w:color w:val="auto"/>
          <w:lang w:eastAsia="zh-CN"/>
        </w:rPr>
        <w:t>；</w:t>
      </w:r>
    </w:p>
    <w:p>
      <w:pPr>
        <w:pStyle w:val="38"/>
        <w:bidi w:val="0"/>
        <w:rPr>
          <w:rFonts w:hint="eastAsia"/>
          <w:color w:val="auto"/>
        </w:rPr>
      </w:pPr>
      <w:r>
        <w:rPr>
          <w:rFonts w:hint="eastAsia"/>
          <w:color w:val="auto"/>
        </w:rPr>
        <w:t>2 高湿度环境系指露天环境、开敞式</w:t>
      </w:r>
      <w:r>
        <w:rPr>
          <w:rFonts w:hint="eastAsia"/>
          <w:color w:val="auto"/>
          <w:lang w:val="en-US" w:eastAsia="zh-CN"/>
        </w:rPr>
        <w:t>建筑</w:t>
      </w:r>
      <w:r>
        <w:rPr>
          <w:rFonts w:hint="eastAsia"/>
          <w:color w:val="auto"/>
        </w:rPr>
        <w:t>易遭飘雨部位、经常受蒸汽或冷凝水作用的场所</w:t>
      </w:r>
      <w:r>
        <w:rPr>
          <w:rFonts w:hint="eastAsia"/>
          <w:color w:val="auto"/>
          <w:lang w:eastAsia="zh-CN"/>
        </w:rPr>
        <w:t>，</w:t>
      </w:r>
      <w:r>
        <w:rPr>
          <w:rFonts w:hint="eastAsia"/>
          <w:color w:val="auto"/>
        </w:rPr>
        <w:t>以及与土壤直接接触的部件等；</w:t>
      </w:r>
    </w:p>
    <w:p>
      <w:pPr>
        <w:pStyle w:val="38"/>
        <w:bidi w:val="0"/>
        <w:rPr>
          <w:rFonts w:hint="eastAsia"/>
          <w:color w:val="auto"/>
        </w:rPr>
      </w:pPr>
      <w:r>
        <w:rPr>
          <w:rFonts w:hint="eastAsia"/>
          <w:color w:val="auto"/>
        </w:rPr>
        <w:t>3 表中括号内的限值适用于热轧钢筋配筋的预应力混凝土构件；</w:t>
      </w:r>
    </w:p>
    <w:p>
      <w:pPr>
        <w:pStyle w:val="38"/>
        <w:bidi w:val="0"/>
        <w:rPr>
          <w:rFonts w:hint="eastAsia"/>
          <w:color w:val="auto"/>
        </w:rPr>
      </w:pPr>
      <w:r>
        <w:rPr>
          <w:rFonts w:hint="eastAsia"/>
          <w:color w:val="auto"/>
        </w:rPr>
        <w:t>4 裂缝宽度以表面测量值为准。</w:t>
      </w:r>
    </w:p>
    <w:p>
      <w:pPr>
        <w:pStyle w:val="5"/>
        <w:bidi w:val="0"/>
        <w:ind w:left="0" w:leftChars="0" w:firstLine="0" w:firstLineChars="0"/>
        <w:rPr>
          <w:rFonts w:hint="default"/>
          <w:color w:val="auto"/>
          <w:lang w:val="en-US" w:eastAsia="zh-CN"/>
        </w:rPr>
      </w:pPr>
      <w:bookmarkStart w:id="75" w:name="_Ref15827"/>
      <w:r>
        <w:rPr>
          <w:rFonts w:hint="eastAsia"/>
          <w:color w:val="auto"/>
          <w:lang w:val="en-US" w:eastAsia="zh-CN"/>
        </w:rPr>
        <w:t>混凝土构件按温度、收缩等作用产生的非受力裂缝评级，可按照</w:t>
      </w:r>
      <w:r>
        <w:rPr>
          <w:rFonts w:hint="eastAsia"/>
          <w:color w:val="auto"/>
          <w:lang w:val="en-US" w:eastAsia="zh-CN"/>
        </w:rPr>
        <w:fldChar w:fldCharType="begin"/>
      </w:r>
      <w:r>
        <w:rPr>
          <w:rFonts w:hint="eastAsia"/>
          <w:color w:val="auto"/>
          <w:lang w:val="en-US" w:eastAsia="zh-CN"/>
        </w:rPr>
        <w:instrText xml:space="preserve"> REF _Ref15602 \n \h </w:instrText>
      </w:r>
      <w:r>
        <w:rPr>
          <w:rFonts w:hint="eastAsia"/>
          <w:color w:val="auto"/>
          <w:lang w:val="en-US" w:eastAsia="zh-CN"/>
        </w:rPr>
        <w:fldChar w:fldCharType="separate"/>
      </w:r>
      <w:r>
        <w:rPr>
          <w:rFonts w:hint="eastAsia"/>
          <w:color w:val="auto"/>
          <w:lang w:val="en-US" w:eastAsia="zh-CN"/>
        </w:rPr>
        <w:t>7.3.12</w:t>
      </w:r>
      <w:r>
        <w:rPr>
          <w:rFonts w:hint="eastAsia"/>
          <w:color w:val="auto"/>
          <w:lang w:val="en-US" w:eastAsia="zh-CN"/>
        </w:rPr>
        <w:fldChar w:fldCharType="end"/>
      </w:r>
      <w:r>
        <w:rPr>
          <w:rFonts w:hint="eastAsia"/>
          <w:color w:val="auto"/>
          <w:lang w:val="en-US" w:eastAsia="zh-CN"/>
        </w:rPr>
        <w:t>条规定评级，但裂缝宽度限值应取表</w:t>
      </w:r>
      <w:r>
        <w:rPr>
          <w:rFonts w:hint="eastAsia"/>
          <w:color w:val="auto"/>
          <w:lang w:val="en-US" w:eastAsia="zh-CN"/>
        </w:rPr>
        <w:fldChar w:fldCharType="begin"/>
      </w:r>
      <w:r>
        <w:rPr>
          <w:rFonts w:hint="eastAsia"/>
          <w:color w:val="auto"/>
          <w:lang w:val="en-US" w:eastAsia="zh-CN"/>
        </w:rPr>
        <w:instrText xml:space="preserve"> REF _Ref15602 \n \h </w:instrText>
      </w:r>
      <w:r>
        <w:rPr>
          <w:rFonts w:hint="eastAsia"/>
          <w:color w:val="auto"/>
          <w:lang w:val="en-US" w:eastAsia="zh-CN"/>
        </w:rPr>
        <w:fldChar w:fldCharType="separate"/>
      </w:r>
      <w:r>
        <w:rPr>
          <w:rFonts w:hint="eastAsia"/>
          <w:color w:val="auto"/>
          <w:lang w:val="en-US" w:eastAsia="zh-CN"/>
        </w:rPr>
        <w:t>7.3.12</w:t>
      </w:r>
      <w:r>
        <w:rPr>
          <w:rFonts w:hint="eastAsia"/>
          <w:color w:val="auto"/>
          <w:lang w:val="en-US" w:eastAsia="zh-CN"/>
        </w:rPr>
        <w:fldChar w:fldCharType="end"/>
      </w:r>
      <w:r>
        <w:rPr>
          <w:rFonts w:hint="eastAsia"/>
          <w:color w:val="auto"/>
          <w:lang w:val="en-US" w:eastAsia="zh-CN"/>
        </w:rPr>
        <w:t>中弯曲受力裂缝宽度限值的1.2倍</w:t>
      </w:r>
      <w:bookmarkEnd w:id="75"/>
      <w:r>
        <w:rPr>
          <w:rFonts w:hint="eastAsia"/>
          <w:color w:val="auto"/>
          <w:lang w:val="en-US" w:eastAsia="zh-CN"/>
        </w:rPr>
        <w:t>。</w:t>
      </w:r>
    </w:p>
    <w:p>
      <w:pPr>
        <w:pStyle w:val="26"/>
        <w:bidi w:val="0"/>
        <w:ind w:left="0" w:leftChars="0" w:firstLine="420" w:firstLineChars="0"/>
        <w:rPr>
          <w:rFonts w:hint="eastAsia"/>
          <w:color w:val="auto"/>
          <w:lang w:val="en-US" w:eastAsia="zh-CN"/>
        </w:rPr>
      </w:pPr>
      <w:r>
        <w:rPr>
          <w:rFonts w:hint="eastAsia"/>
          <w:color w:val="auto"/>
          <w:lang w:val="en-US" w:eastAsia="zh-CN"/>
        </w:rPr>
        <w:t>【条文说明】现场调查时不容易判断裂缝是受力引起还是非受力作用引起，大多数情况裂缝是综合原因引起。偏于安全考虑，本导则没有采用《民用建筑可靠性鉴定标准》GB 50292中“非受力裂缝宽度值超过弯曲受力裂缝宽度值50%”的规定，而是将超过弯曲受力裂缝宽度值50%的要求提高到20%。</w:t>
      </w:r>
    </w:p>
    <w:p>
      <w:pPr>
        <w:pStyle w:val="5"/>
        <w:bidi w:val="0"/>
        <w:ind w:left="0" w:leftChars="0" w:firstLine="0" w:firstLineChars="0"/>
        <w:rPr>
          <w:rFonts w:hint="eastAsia"/>
          <w:color w:val="auto"/>
          <w:lang w:val="en-US" w:eastAsia="zh-CN"/>
        </w:rPr>
      </w:pPr>
      <w:r>
        <w:rPr>
          <w:rFonts w:hint="eastAsia"/>
          <w:color w:val="auto"/>
          <w:lang w:val="en-US" w:eastAsia="zh-CN"/>
        </w:rPr>
        <w:t>当混凝土结构构件同时存在受力和非受力裂缝时，应分别评级，并取其中较低一级作为该构件裂缝项目的安全性等级。</w:t>
      </w:r>
    </w:p>
    <w:p>
      <w:pPr>
        <w:pStyle w:val="5"/>
        <w:bidi w:val="0"/>
        <w:ind w:left="0" w:leftChars="0" w:firstLine="0" w:firstLineChars="0"/>
        <w:rPr>
          <w:rFonts w:hint="default"/>
          <w:color w:val="auto"/>
          <w:lang w:val="en-US" w:eastAsia="zh-CN"/>
        </w:rPr>
      </w:pPr>
      <w:r>
        <w:rPr>
          <w:rFonts w:hint="eastAsia"/>
          <w:color w:val="auto"/>
          <w:lang w:val="en-US" w:eastAsia="zh-CN"/>
        </w:rPr>
        <w:t>因主筋锈蚀、腐蚀或外部碰撞等原因，导致混凝土出现沿主筋方向开裂、 混凝土脱落或掉角等损伤，构件安全性应按验算项目评级，且评级不高于b</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5"/>
        <w:bidi w:val="0"/>
        <w:ind w:left="0" w:leftChars="0" w:firstLine="0" w:firstLineChars="0"/>
        <w:rPr>
          <w:rFonts w:hint="default"/>
          <w:color w:val="auto"/>
          <w:lang w:val="en-US" w:eastAsia="zh-CN"/>
        </w:rPr>
      </w:pPr>
      <w:r>
        <w:rPr>
          <w:rFonts w:hint="eastAsia"/>
          <w:color w:val="auto"/>
          <w:lang w:val="en-US" w:eastAsia="zh-CN"/>
        </w:rPr>
        <w:t>混凝土构件存在</w:t>
      </w:r>
      <w:r>
        <w:rPr>
          <w:rFonts w:hint="default"/>
          <w:color w:val="auto"/>
          <w:lang w:val="en-US" w:eastAsia="zh-CN"/>
        </w:rPr>
        <w:t>开洞</w:t>
      </w:r>
      <w:r>
        <w:rPr>
          <w:rFonts w:hint="eastAsia"/>
          <w:color w:val="auto"/>
          <w:lang w:val="en-US" w:eastAsia="zh-CN"/>
        </w:rPr>
        <w:t>或其他人为损伤</w:t>
      </w:r>
      <w:r>
        <w:rPr>
          <w:rFonts w:hint="default"/>
          <w:color w:val="auto"/>
          <w:lang w:val="en-US" w:eastAsia="zh-CN"/>
        </w:rPr>
        <w:t>时，</w:t>
      </w:r>
      <w:r>
        <w:rPr>
          <w:rFonts w:hint="eastAsia"/>
          <w:color w:val="auto"/>
          <w:lang w:val="en-US" w:eastAsia="zh-CN"/>
        </w:rPr>
        <w:t>构件安全性应按验算项目评级，且评级不高于b</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5"/>
        <w:bidi w:val="0"/>
        <w:ind w:left="0" w:leftChars="0" w:firstLine="0" w:firstLineChars="0"/>
        <w:rPr>
          <w:rFonts w:hint="eastAsia"/>
          <w:color w:val="auto"/>
          <w:lang w:val="en-US" w:eastAsia="zh-CN"/>
        </w:rPr>
      </w:pPr>
      <w:bookmarkStart w:id="76" w:name="_Ref15154"/>
      <w:r>
        <w:rPr>
          <w:rFonts w:hint="eastAsia"/>
          <w:color w:val="auto"/>
          <w:lang w:val="en-US" w:eastAsia="zh-CN"/>
        </w:rPr>
        <w:t>混凝土结构构件的安全性按验算项目评级，应按表</w:t>
      </w:r>
      <w:bookmarkEnd w:id="76"/>
      <w:r>
        <w:rPr>
          <w:rFonts w:hint="eastAsia"/>
          <w:color w:val="auto"/>
          <w:lang w:val="en-US" w:eastAsia="zh-CN"/>
        </w:rPr>
        <w:fldChar w:fldCharType="begin"/>
      </w:r>
      <w:r>
        <w:rPr>
          <w:rFonts w:hint="eastAsia"/>
          <w:color w:val="auto"/>
          <w:lang w:val="en-US" w:eastAsia="zh-CN"/>
        </w:rPr>
        <w:instrText xml:space="preserve"> REF _Ref15154 \n \h </w:instrText>
      </w:r>
      <w:r>
        <w:rPr>
          <w:rFonts w:hint="eastAsia"/>
          <w:color w:val="auto"/>
          <w:lang w:val="en-US" w:eastAsia="zh-CN"/>
        </w:rPr>
        <w:fldChar w:fldCharType="separate"/>
      </w:r>
      <w:r>
        <w:rPr>
          <w:rFonts w:hint="eastAsia"/>
          <w:color w:val="auto"/>
          <w:lang w:val="en-US" w:eastAsia="zh-CN"/>
        </w:rPr>
        <w:t>7.3.17</w:t>
      </w:r>
      <w:r>
        <w:rPr>
          <w:rFonts w:hint="eastAsia"/>
          <w:color w:val="auto"/>
          <w:lang w:val="en-US" w:eastAsia="zh-CN"/>
        </w:rPr>
        <w:fldChar w:fldCharType="end"/>
      </w:r>
      <w:r>
        <w:rPr>
          <w:rFonts w:hint="eastAsia"/>
          <w:color w:val="auto"/>
          <w:lang w:val="en-US" w:eastAsia="zh-CN"/>
        </w:rPr>
        <w:t>的规定分别对每一验算项目评级，并应取其中最低等级作为该构件承载力的安全性等级。混凝土结构构件承载力、倾覆、滑移、疲劳的验算，应按国家现行相关规范进行。</w:t>
      </w:r>
    </w:p>
    <w:p>
      <w:pPr>
        <w:pStyle w:val="25"/>
        <w:bidi w:val="0"/>
        <w:rPr>
          <w:rFonts w:hint="eastAsia"/>
          <w:color w:val="auto"/>
          <w:lang w:eastAsia="zh-CN"/>
        </w:rPr>
      </w:pPr>
      <w:r>
        <w:rPr>
          <w:rFonts w:hint="eastAsia"/>
          <w:color w:val="auto"/>
          <w:lang w:eastAsia="zh-CN"/>
        </w:rPr>
        <w:t>表</w:t>
      </w:r>
      <w:r>
        <w:rPr>
          <w:rFonts w:hint="eastAsia"/>
          <w:color w:val="auto"/>
          <w:lang w:val="en-US" w:eastAsia="zh-CN"/>
        </w:rPr>
        <w:fldChar w:fldCharType="begin"/>
      </w:r>
      <w:r>
        <w:rPr>
          <w:rFonts w:hint="eastAsia"/>
          <w:color w:val="auto"/>
          <w:lang w:val="en-US" w:eastAsia="zh-CN"/>
        </w:rPr>
        <w:instrText xml:space="preserve"> REF _Ref15154 \n \h </w:instrText>
      </w:r>
      <w:r>
        <w:rPr>
          <w:rFonts w:hint="eastAsia"/>
          <w:color w:val="auto"/>
          <w:lang w:val="en-US" w:eastAsia="zh-CN"/>
        </w:rPr>
        <w:fldChar w:fldCharType="separate"/>
      </w:r>
      <w:r>
        <w:rPr>
          <w:rFonts w:hint="eastAsia"/>
          <w:color w:val="auto"/>
          <w:lang w:val="en-US" w:eastAsia="zh-CN"/>
        </w:rPr>
        <w:t>7.3.17</w:t>
      </w:r>
      <w:r>
        <w:rPr>
          <w:rFonts w:hint="eastAsia"/>
          <w:color w:val="auto"/>
          <w:lang w:val="en-US" w:eastAsia="zh-CN"/>
        </w:rPr>
        <w:fldChar w:fldCharType="end"/>
      </w:r>
      <w:r>
        <w:rPr>
          <w:rFonts w:hint="eastAsia"/>
          <w:color w:val="auto"/>
          <w:lang w:eastAsia="zh-CN"/>
        </w:rPr>
        <w:t xml:space="preserve"> 混凝土结构构件安全性按验算项目评级</w:t>
      </w:r>
    </w:p>
    <w:tbl>
      <w:tblPr>
        <w:tblStyle w:val="27"/>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062"/>
        <w:gridCol w:w="1946"/>
        <w:gridCol w:w="2062"/>
        <w:gridCol w:w="22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jc w:val="center"/>
        </w:trPr>
        <w:tc>
          <w:tcPr>
            <w:tcW w:w="1240" w:type="pct"/>
            <w:vMerge w:val="restart"/>
            <w:tcBorders>
              <w:bottom w:val="nil"/>
            </w:tcBorders>
            <w:noWrap w:val="0"/>
            <w:vAlign w:val="center"/>
          </w:tcPr>
          <w:p>
            <w:pPr>
              <w:pStyle w:val="24"/>
              <w:bidi w:val="0"/>
              <w:rPr>
                <w:rFonts w:hint="eastAsia"/>
                <w:color w:val="auto"/>
                <w:lang w:eastAsia="zh-CN"/>
              </w:rPr>
            </w:pPr>
            <w:r>
              <w:rPr>
                <w:rFonts w:hint="eastAsia"/>
                <w:color w:val="auto"/>
                <w:lang w:eastAsia="zh-CN"/>
              </w:rPr>
              <w:t>构件类别</w:t>
            </w:r>
          </w:p>
        </w:tc>
        <w:tc>
          <w:tcPr>
            <w:tcW w:w="3759" w:type="pct"/>
            <w:gridSpan w:val="3"/>
            <w:tcBorders>
              <w:right w:val="single" w:color="auto" w:sz="4" w:space="0"/>
            </w:tcBorders>
            <w:noWrap w:val="0"/>
            <w:vAlign w:val="center"/>
          </w:tcPr>
          <w:p>
            <w:pPr>
              <w:pStyle w:val="24"/>
              <w:bidi w:val="0"/>
              <w:rPr>
                <w:rFonts w:hint="eastAsia"/>
                <w:color w:val="auto"/>
                <w:lang w:eastAsia="zh-CN"/>
              </w:rPr>
            </w:pPr>
            <w:r>
              <w:rPr>
                <w:rFonts w:hint="eastAsia"/>
                <w:color w:val="auto"/>
                <w:lang w:eastAsia="zh-CN"/>
              </w:rPr>
              <w:t>安全性等级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8" w:hRule="atLeast"/>
          <w:jc w:val="center"/>
        </w:trPr>
        <w:tc>
          <w:tcPr>
            <w:tcW w:w="1240" w:type="pct"/>
            <w:vMerge w:val="continue"/>
            <w:tcBorders>
              <w:top w:val="nil"/>
            </w:tcBorders>
            <w:noWrap w:val="0"/>
            <w:vAlign w:val="center"/>
          </w:tcPr>
          <w:p>
            <w:pPr>
              <w:pStyle w:val="24"/>
              <w:bidi w:val="0"/>
              <w:rPr>
                <w:rFonts w:hint="eastAsia"/>
                <w:color w:val="auto"/>
                <w:lang w:eastAsia="zh-CN"/>
              </w:rPr>
            </w:pPr>
          </w:p>
        </w:tc>
        <w:tc>
          <w:tcPr>
            <w:tcW w:w="1170" w:type="pct"/>
            <w:noWrap w:val="0"/>
            <w:vAlign w:val="center"/>
          </w:tcPr>
          <w:p>
            <w:pPr>
              <w:pStyle w:val="24"/>
              <w:bidi w:val="0"/>
              <w:rPr>
                <w:rFonts w:hint="eastAsia"/>
                <w:color w:val="auto"/>
                <w:lang w:eastAsia="zh-CN"/>
              </w:rPr>
            </w:pPr>
            <w:r>
              <w:rPr>
                <w:rFonts w:hint="eastAsia"/>
                <w:color w:val="auto"/>
                <w:lang w:eastAsia="zh-CN"/>
              </w:rPr>
              <w:t>a</w:t>
            </w:r>
            <w:r>
              <w:rPr>
                <w:rFonts w:hint="eastAsia" w:hAnsi="Cambria Math" w:cs="宋体"/>
                <w:color w:val="auto"/>
                <w:kern w:val="0"/>
                <w:sz w:val="24"/>
                <w:szCs w:val="24"/>
                <w:vertAlign w:val="subscript"/>
                <w:lang w:val="en-US" w:eastAsia="zh-CN" w:bidi="ar"/>
              </w:rPr>
              <w:t>u</w:t>
            </w:r>
            <w:r>
              <w:rPr>
                <w:rFonts w:hint="eastAsia"/>
                <w:color w:val="auto"/>
                <w:lang w:eastAsia="zh-CN"/>
              </w:rPr>
              <w:t>级</w:t>
            </w:r>
          </w:p>
        </w:tc>
        <w:tc>
          <w:tcPr>
            <w:tcW w:w="1240" w:type="pct"/>
            <w:noWrap w:val="0"/>
            <w:vAlign w:val="center"/>
          </w:tcPr>
          <w:p>
            <w:pPr>
              <w:pStyle w:val="24"/>
              <w:bidi w:val="0"/>
              <w:rPr>
                <w:rFonts w:hint="eastAsia"/>
                <w:color w:val="auto"/>
                <w:lang w:eastAsia="zh-CN"/>
              </w:rPr>
            </w:pPr>
            <w:r>
              <w:rPr>
                <w:rFonts w:hint="eastAsia"/>
                <w:color w:val="auto"/>
                <w:lang w:eastAsia="zh-CN"/>
              </w:rPr>
              <w:t>b</w:t>
            </w:r>
            <w:r>
              <w:rPr>
                <w:rFonts w:hint="eastAsia" w:hAnsi="Cambria Math" w:cs="宋体"/>
                <w:color w:val="auto"/>
                <w:kern w:val="0"/>
                <w:sz w:val="24"/>
                <w:szCs w:val="24"/>
                <w:vertAlign w:val="subscript"/>
                <w:lang w:val="en-US" w:eastAsia="zh-CN" w:bidi="ar"/>
              </w:rPr>
              <w:t>u</w:t>
            </w:r>
            <w:r>
              <w:rPr>
                <w:rFonts w:hint="eastAsia"/>
                <w:color w:val="auto"/>
                <w:lang w:eastAsia="zh-CN"/>
              </w:rPr>
              <w:t>级</w:t>
            </w:r>
          </w:p>
        </w:tc>
        <w:tc>
          <w:tcPr>
            <w:tcW w:w="1347" w:type="pct"/>
            <w:noWrap w:val="0"/>
            <w:vAlign w:val="center"/>
          </w:tcPr>
          <w:p>
            <w:pPr>
              <w:pStyle w:val="24"/>
              <w:bidi w:val="0"/>
              <w:rPr>
                <w:rFonts w:hint="eastAsia"/>
                <w:color w:val="auto"/>
                <w:lang w:eastAsia="zh-CN"/>
              </w:rPr>
            </w:pPr>
            <w:r>
              <w:rPr>
                <w:rFonts w:hint="eastAsia"/>
                <w:color w:val="auto"/>
                <w:lang w:eastAsia="zh-CN"/>
              </w:rPr>
              <w:t>c</w:t>
            </w:r>
            <w:r>
              <w:rPr>
                <w:rFonts w:hint="eastAsia" w:hAnsi="Cambria Math" w:cs="宋体"/>
                <w:color w:val="auto"/>
                <w:kern w:val="0"/>
                <w:sz w:val="24"/>
                <w:szCs w:val="24"/>
                <w:vertAlign w:val="subscript"/>
                <w:lang w:val="en-US" w:eastAsia="zh-CN" w:bidi="ar"/>
              </w:rPr>
              <w:t>u</w:t>
            </w:r>
            <w:r>
              <w:rPr>
                <w:rFonts w:hint="eastAsia"/>
                <w:color w:val="auto"/>
                <w:lang w:eastAsia="zh-CN"/>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jc w:val="center"/>
        </w:trPr>
        <w:tc>
          <w:tcPr>
            <w:tcW w:w="1240" w:type="pct"/>
            <w:noWrap w:val="0"/>
            <w:vAlign w:val="center"/>
          </w:tcPr>
          <w:p>
            <w:pPr>
              <w:pStyle w:val="24"/>
              <w:bidi w:val="0"/>
              <w:rPr>
                <w:rFonts w:hint="eastAsia"/>
                <w:color w:val="auto"/>
                <w:lang w:eastAsia="zh-CN"/>
              </w:rPr>
            </w:pPr>
            <w:r>
              <w:rPr>
                <w:rFonts w:hint="eastAsia"/>
                <w:color w:val="auto"/>
                <w:lang w:eastAsia="zh-CN"/>
              </w:rPr>
              <w:t>主要构件及节点、连接</w:t>
            </w:r>
          </w:p>
        </w:tc>
        <w:tc>
          <w:tcPr>
            <w:tcW w:w="1946" w:type="dxa"/>
            <w:noWrap w:val="0"/>
            <w:vAlign w:val="center"/>
          </w:tcPr>
          <w:p>
            <w:pPr>
              <w:pStyle w:val="24"/>
              <w:bidi w:val="0"/>
              <w:ind w:firstLine="0" w:firstLineChars="0"/>
              <w:jc w:val="center"/>
              <w:rPr>
                <w:rFonts w:hint="eastAsia"/>
                <w:color w:val="auto"/>
                <w:highlight w:val="none"/>
                <w:lang w:eastAsia="zh-CN"/>
              </w:rPr>
            </w:pPr>
            <w:r>
              <w:rPr>
                <w:color w:val="auto"/>
                <w:highlight w:val="none"/>
              </w:rPr>
              <w:t>R/(γ₀S)≥ 1.00</w:t>
            </w:r>
          </w:p>
        </w:tc>
        <w:tc>
          <w:tcPr>
            <w:tcW w:w="2062" w:type="dxa"/>
            <w:noWrap w:val="0"/>
            <w:vAlign w:val="center"/>
          </w:tcPr>
          <w:p>
            <w:pPr>
              <w:pStyle w:val="24"/>
              <w:bidi w:val="0"/>
              <w:ind w:firstLine="0" w:firstLineChars="0"/>
              <w:jc w:val="center"/>
              <w:rPr>
                <w:rFonts w:hint="eastAsia"/>
                <w:color w:val="auto"/>
                <w:highlight w:val="none"/>
                <w:lang w:eastAsia="zh-CN"/>
              </w:rPr>
            </w:pPr>
            <w:r>
              <w:rPr>
                <w:rFonts w:hint="eastAsia"/>
                <w:color w:val="auto"/>
                <w:highlight w:val="none"/>
                <w:lang w:val="en-US" w:eastAsia="zh-CN"/>
              </w:rPr>
              <w:t>1.0&gt;</w:t>
            </w:r>
            <w:r>
              <w:rPr>
                <w:color w:val="auto"/>
                <w:highlight w:val="none"/>
              </w:rPr>
              <w:t>R/(γ₀S)≥ 0.95</w:t>
            </w:r>
          </w:p>
        </w:tc>
        <w:tc>
          <w:tcPr>
            <w:tcW w:w="2244" w:type="dxa"/>
            <w:noWrap w:val="0"/>
            <w:vAlign w:val="center"/>
          </w:tcPr>
          <w:p>
            <w:pPr>
              <w:pStyle w:val="24"/>
              <w:bidi w:val="0"/>
              <w:ind w:firstLine="0" w:firstLineChars="0"/>
              <w:jc w:val="center"/>
              <w:rPr>
                <w:rFonts w:hint="eastAsia"/>
                <w:color w:val="auto"/>
                <w:highlight w:val="none"/>
                <w:lang w:eastAsia="zh-CN"/>
              </w:rPr>
            </w:pPr>
            <w:r>
              <w:rPr>
                <w:color w:val="auto"/>
                <w:highlight w:val="none"/>
              </w:rPr>
              <w:t>R/(γ₀S)</w:t>
            </w:r>
            <w:r>
              <w:rPr>
                <w:rFonts w:hint="eastAsia"/>
                <w:color w:val="auto"/>
                <w:highlight w:val="none"/>
                <w:lang w:val="en-US" w:eastAsia="zh-CN"/>
              </w:rPr>
              <w:t>＜</w:t>
            </w:r>
            <w:r>
              <w:rPr>
                <w:color w:val="auto"/>
                <w:highlight w:val="none"/>
              </w:rPr>
              <w:t>0.9</w:t>
            </w:r>
            <w:r>
              <w:rPr>
                <w:rFonts w:hint="eastAsia"/>
                <w:color w:val="auto"/>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1" w:hRule="atLeast"/>
          <w:jc w:val="center"/>
        </w:trPr>
        <w:tc>
          <w:tcPr>
            <w:tcW w:w="1240" w:type="pct"/>
            <w:noWrap w:val="0"/>
            <w:vAlign w:val="center"/>
          </w:tcPr>
          <w:p>
            <w:pPr>
              <w:pStyle w:val="24"/>
              <w:bidi w:val="0"/>
              <w:rPr>
                <w:rFonts w:hint="eastAsia"/>
                <w:color w:val="auto"/>
                <w:lang w:eastAsia="zh-CN"/>
              </w:rPr>
            </w:pPr>
            <w:r>
              <w:rPr>
                <w:rFonts w:hint="eastAsia"/>
                <w:color w:val="auto"/>
                <w:lang w:eastAsia="zh-CN"/>
              </w:rPr>
              <w:t>一般构件</w:t>
            </w:r>
          </w:p>
        </w:tc>
        <w:tc>
          <w:tcPr>
            <w:tcW w:w="1946" w:type="dxa"/>
            <w:noWrap w:val="0"/>
            <w:vAlign w:val="center"/>
          </w:tcPr>
          <w:p>
            <w:pPr>
              <w:pStyle w:val="24"/>
              <w:bidi w:val="0"/>
              <w:ind w:firstLine="0" w:firstLineChars="0"/>
              <w:jc w:val="center"/>
              <w:rPr>
                <w:rFonts w:hint="default"/>
                <w:color w:val="auto"/>
                <w:highlight w:val="none"/>
                <w:lang w:val="en-US" w:eastAsia="zh-CN"/>
              </w:rPr>
            </w:pPr>
            <w:r>
              <w:rPr>
                <w:color w:val="auto"/>
                <w:highlight w:val="none"/>
              </w:rPr>
              <w:t>R/(γ₀S)≥ 1.00</w:t>
            </w:r>
          </w:p>
        </w:tc>
        <w:tc>
          <w:tcPr>
            <w:tcW w:w="2062" w:type="dxa"/>
            <w:noWrap w:val="0"/>
            <w:vAlign w:val="center"/>
          </w:tcPr>
          <w:p>
            <w:pPr>
              <w:pStyle w:val="24"/>
              <w:bidi w:val="0"/>
              <w:ind w:firstLine="0" w:firstLineChars="0"/>
              <w:jc w:val="center"/>
              <w:rPr>
                <w:rFonts w:hint="default"/>
                <w:color w:val="auto"/>
                <w:highlight w:val="none"/>
                <w:lang w:val="en-US" w:eastAsia="zh-CN"/>
              </w:rPr>
            </w:pPr>
            <w:r>
              <w:rPr>
                <w:rFonts w:hint="eastAsia"/>
                <w:color w:val="auto"/>
                <w:highlight w:val="none"/>
                <w:lang w:val="en-US" w:eastAsia="zh-CN"/>
              </w:rPr>
              <w:t>1.0&gt;</w:t>
            </w:r>
            <w:r>
              <w:rPr>
                <w:color w:val="auto"/>
                <w:highlight w:val="none"/>
              </w:rPr>
              <w:t>R/(γ₀S)≥ 0.90</w:t>
            </w:r>
          </w:p>
        </w:tc>
        <w:tc>
          <w:tcPr>
            <w:tcW w:w="2244" w:type="dxa"/>
            <w:noWrap w:val="0"/>
            <w:vAlign w:val="center"/>
          </w:tcPr>
          <w:p>
            <w:pPr>
              <w:pStyle w:val="24"/>
              <w:bidi w:val="0"/>
              <w:ind w:firstLine="0" w:firstLineChars="0"/>
              <w:jc w:val="center"/>
              <w:rPr>
                <w:rFonts w:hint="eastAsia"/>
                <w:color w:val="auto"/>
                <w:highlight w:val="none"/>
                <w:lang w:eastAsia="zh-CN"/>
              </w:rPr>
            </w:pPr>
            <w:r>
              <w:rPr>
                <w:color w:val="auto"/>
                <w:highlight w:val="none"/>
              </w:rPr>
              <w:t>R/(γ₀S)</w:t>
            </w:r>
            <w:r>
              <w:rPr>
                <w:rFonts w:hint="eastAsia"/>
                <w:color w:val="auto"/>
                <w:highlight w:val="none"/>
                <w:lang w:val="en-US" w:eastAsia="zh-CN"/>
              </w:rPr>
              <w:t>＜0.90</w:t>
            </w:r>
          </w:p>
        </w:tc>
      </w:tr>
    </w:tbl>
    <w:p>
      <w:pPr>
        <w:pStyle w:val="5"/>
        <w:bidi w:val="0"/>
        <w:ind w:left="0" w:leftChars="0" w:firstLine="0" w:firstLineChars="0"/>
        <w:rPr>
          <w:rFonts w:hint="default"/>
          <w:color w:val="auto"/>
          <w:lang w:val="en-US" w:eastAsia="zh-CN"/>
        </w:rPr>
      </w:pPr>
      <w:r>
        <w:rPr>
          <w:rFonts w:hint="eastAsia"/>
          <w:color w:val="auto"/>
          <w:lang w:val="en-US" w:eastAsia="zh-CN"/>
        </w:rPr>
        <w:t>混凝土结构楼层和构件系统鉴定，应符合本导则第7.2节的有关规定。</w:t>
      </w:r>
    </w:p>
    <w:p>
      <w:pPr>
        <w:pStyle w:val="3"/>
        <w:bidi w:val="0"/>
        <w:ind w:left="0" w:leftChars="0" w:firstLine="0" w:firstLineChars="0"/>
        <w:rPr>
          <w:rFonts w:hint="eastAsia"/>
          <w:color w:val="auto"/>
          <w:lang w:val="en-US" w:eastAsia="zh-CN"/>
        </w:rPr>
      </w:pPr>
      <w:bookmarkStart w:id="77" w:name="_Toc31118"/>
      <w:bookmarkStart w:id="78" w:name="_Toc21459"/>
      <w:r>
        <w:rPr>
          <w:rFonts w:hint="eastAsia"/>
          <w:color w:val="auto"/>
          <w:lang w:val="en-US" w:eastAsia="zh-CN"/>
        </w:rPr>
        <w:t>钢结构</w:t>
      </w:r>
      <w:bookmarkEnd w:id="77"/>
      <w:bookmarkEnd w:id="78"/>
    </w:p>
    <w:p>
      <w:pPr>
        <w:pStyle w:val="29"/>
        <w:numPr>
          <w:ilvl w:val="2"/>
          <w:numId w:val="11"/>
        </w:numPr>
        <w:bidi w:val="0"/>
        <w:rPr>
          <w:rFonts w:hint="default"/>
          <w:color w:val="auto"/>
          <w:lang w:val="en-US" w:eastAsia="zh-CN"/>
        </w:rPr>
      </w:pPr>
      <w:r>
        <w:rPr>
          <w:rFonts w:hint="eastAsia"/>
          <w:color w:val="auto"/>
          <w:lang w:val="en-US" w:eastAsia="zh-CN"/>
        </w:rPr>
        <w:t>结构体系鉴定</w:t>
      </w:r>
    </w:p>
    <w:p>
      <w:pPr>
        <w:pStyle w:val="5"/>
        <w:bidi w:val="0"/>
        <w:ind w:left="0" w:leftChars="0" w:firstLine="0" w:firstLineChars="0"/>
        <w:rPr>
          <w:color w:val="auto"/>
        </w:rPr>
      </w:pPr>
      <w:r>
        <w:rPr>
          <w:color w:val="auto"/>
        </w:rPr>
        <w:t>钢</w:t>
      </w:r>
      <w:r>
        <w:rPr>
          <w:rFonts w:hint="eastAsia"/>
          <w:color w:val="auto"/>
          <w:lang w:val="en-US" w:eastAsia="zh-CN"/>
        </w:rPr>
        <w:t>结构的结构体系鉴定</w:t>
      </w:r>
      <w:r>
        <w:rPr>
          <w:color w:val="auto"/>
        </w:rPr>
        <w:t>，应</w:t>
      </w:r>
      <w:r>
        <w:rPr>
          <w:rFonts w:hint="eastAsia"/>
          <w:color w:val="auto"/>
          <w:lang w:val="en-US" w:eastAsia="zh-CN"/>
        </w:rPr>
        <w:t>对结构高宽比、</w:t>
      </w:r>
      <w:r>
        <w:rPr>
          <w:color w:val="auto"/>
        </w:rPr>
        <w:t>结构布置</w:t>
      </w:r>
      <w:r>
        <w:rPr>
          <w:rFonts w:hint="eastAsia"/>
          <w:color w:val="auto"/>
          <w:lang w:val="en-US" w:eastAsia="zh-CN"/>
        </w:rPr>
        <w:t>和选型</w:t>
      </w:r>
      <w:r>
        <w:rPr>
          <w:color w:val="auto"/>
        </w:rPr>
        <w:t>、</w:t>
      </w:r>
      <w:r>
        <w:rPr>
          <w:rFonts w:hint="eastAsia"/>
          <w:color w:val="auto"/>
          <w:lang w:val="en-US" w:eastAsia="zh-CN"/>
        </w:rPr>
        <w:t>支撑系统、构件节点连接、构件长细比、顶点位移</w:t>
      </w:r>
      <w:r>
        <w:rPr>
          <w:color w:val="auto"/>
        </w:rPr>
        <w:t>等</w:t>
      </w:r>
      <w:r>
        <w:rPr>
          <w:rFonts w:hint="eastAsia"/>
          <w:color w:val="auto"/>
          <w:lang w:val="en-US" w:eastAsia="zh-CN"/>
        </w:rPr>
        <w:t>检查项目进行检查</w:t>
      </w:r>
      <w:r>
        <w:rPr>
          <w:color w:val="auto"/>
        </w:rPr>
        <w:t>。</w:t>
      </w:r>
    </w:p>
    <w:p>
      <w:pPr>
        <w:pStyle w:val="5"/>
        <w:bidi w:val="0"/>
        <w:ind w:left="0" w:leftChars="0" w:firstLine="0" w:firstLineChars="0"/>
        <w:rPr>
          <w:rFonts w:hint="eastAsia"/>
          <w:color w:val="auto"/>
        </w:rPr>
      </w:pPr>
      <w:bookmarkStart w:id="79" w:name="_Ref30233"/>
      <w:r>
        <w:rPr>
          <w:rFonts w:hint="eastAsia"/>
          <w:color w:val="auto"/>
        </w:rPr>
        <w:t>钢结构的最大高宽比不超过</w:t>
      </w:r>
      <w:r>
        <w:rPr>
          <w:rFonts w:hint="eastAsia"/>
          <w:color w:val="auto"/>
          <w:lang w:val="en-US" w:eastAsia="zh-CN"/>
        </w:rPr>
        <w:t>6.5</w:t>
      </w:r>
      <w:r>
        <w:rPr>
          <w:rFonts w:hint="eastAsia"/>
          <w:color w:val="auto"/>
        </w:rPr>
        <w:t>。</w:t>
      </w:r>
      <w:bookmarkEnd w:id="79"/>
    </w:p>
    <w:p>
      <w:pPr>
        <w:pStyle w:val="5"/>
        <w:bidi w:val="0"/>
        <w:ind w:left="0" w:leftChars="0" w:firstLine="0" w:firstLineChars="0"/>
        <w:rPr>
          <w:rFonts w:hint="eastAsia"/>
          <w:color w:val="auto"/>
        </w:rPr>
      </w:pPr>
      <w:r>
        <w:rPr>
          <w:rFonts w:hint="eastAsia"/>
          <w:color w:val="auto"/>
        </w:rPr>
        <w:t>钢结构的结构布置</w:t>
      </w:r>
      <w:r>
        <w:rPr>
          <w:rFonts w:hint="eastAsia"/>
          <w:color w:val="auto"/>
          <w:lang w:val="en-US" w:eastAsia="zh-CN"/>
        </w:rPr>
        <w:t>和选型</w:t>
      </w:r>
      <w:r>
        <w:rPr>
          <w:rFonts w:hint="eastAsia"/>
          <w:color w:val="auto"/>
          <w:lang w:eastAsia="zh-CN"/>
        </w:rPr>
        <w:t>，</w:t>
      </w:r>
      <w:r>
        <w:rPr>
          <w:rFonts w:hint="eastAsia"/>
          <w:color w:val="auto"/>
        </w:rPr>
        <w:t>应</w:t>
      </w:r>
      <w:r>
        <w:rPr>
          <w:rFonts w:hint="eastAsia"/>
          <w:color w:val="auto"/>
          <w:lang w:val="en-US" w:eastAsia="zh-CN"/>
        </w:rPr>
        <w:t>符合</w:t>
      </w:r>
      <w:r>
        <w:rPr>
          <w:rFonts w:hint="eastAsia"/>
          <w:color w:val="auto"/>
        </w:rPr>
        <w:t>下列规定：</w:t>
      </w:r>
    </w:p>
    <w:p>
      <w:pPr>
        <w:pStyle w:val="36"/>
        <w:bidi w:val="0"/>
        <w:rPr>
          <w:rFonts w:hint="eastAsia"/>
          <w:color w:val="auto"/>
          <w:lang w:val="en-US" w:eastAsia="zh-CN"/>
        </w:rPr>
      </w:pPr>
      <w:r>
        <w:rPr>
          <w:rFonts w:hint="eastAsia"/>
          <w:color w:val="auto"/>
          <w:lang w:val="en-US" w:eastAsia="zh-CN"/>
        </w:rPr>
        <w:t>建筑</w:t>
      </w:r>
      <w:r>
        <w:rPr>
          <w:rFonts w:hint="default"/>
          <w:color w:val="auto"/>
          <w:lang w:val="en-US" w:eastAsia="zh-CN"/>
        </w:rPr>
        <w:t>平面布置宜规则、对称</w:t>
      </w:r>
      <w:r>
        <w:rPr>
          <w:rFonts w:hint="eastAsia"/>
          <w:color w:val="auto"/>
          <w:lang w:val="en-US" w:eastAsia="zh-CN"/>
        </w:rPr>
        <w:t>；</w:t>
      </w:r>
    </w:p>
    <w:p>
      <w:pPr>
        <w:pStyle w:val="36"/>
        <w:bidi w:val="0"/>
        <w:rPr>
          <w:rFonts w:hint="default"/>
          <w:color w:val="auto"/>
          <w:lang w:val="en-US" w:eastAsia="zh-CN"/>
        </w:rPr>
      </w:pPr>
      <w:r>
        <w:rPr>
          <w:rFonts w:hint="default"/>
          <w:color w:val="auto"/>
          <w:lang w:val="en-US" w:eastAsia="zh-CN"/>
        </w:rPr>
        <w:t>建筑的立面和竖向剖面宜规则</w:t>
      </w:r>
      <w:r>
        <w:rPr>
          <w:rFonts w:hint="eastAsia"/>
          <w:color w:val="auto"/>
          <w:lang w:val="en-US" w:eastAsia="zh-CN"/>
        </w:rPr>
        <w:t>，</w:t>
      </w:r>
      <w:r>
        <w:rPr>
          <w:rFonts w:hint="default"/>
          <w:color w:val="auto"/>
          <w:lang w:val="en-US" w:eastAsia="zh-CN"/>
        </w:rPr>
        <w:t>结构的侧向刚度沿高度宜均匀变化，竖向抗侧力构件的截面尺寸和材料强度宜自下而上逐渐减小</w:t>
      </w:r>
      <w:r>
        <w:rPr>
          <w:rFonts w:hint="eastAsia"/>
          <w:color w:val="auto"/>
          <w:lang w:val="en-US" w:eastAsia="zh-CN"/>
        </w:rPr>
        <w:t>，</w:t>
      </w:r>
      <w:r>
        <w:rPr>
          <w:rFonts w:hint="default"/>
          <w:color w:val="auto"/>
          <w:lang w:val="en-US" w:eastAsia="zh-CN"/>
        </w:rPr>
        <w:t>应避免抗侧力结构的侧向刚度和承载力突变</w:t>
      </w:r>
      <w:r>
        <w:rPr>
          <w:rFonts w:hint="eastAsia"/>
          <w:color w:val="auto"/>
          <w:lang w:val="en-US" w:eastAsia="zh-CN"/>
        </w:rPr>
        <w:t>；</w:t>
      </w:r>
    </w:p>
    <w:p>
      <w:pPr>
        <w:pStyle w:val="36"/>
        <w:bidi w:val="0"/>
        <w:rPr>
          <w:rFonts w:hint="eastAsia"/>
          <w:color w:val="auto"/>
          <w:lang w:eastAsia="zh-CN"/>
        </w:rPr>
      </w:pPr>
      <w:r>
        <w:rPr>
          <w:rFonts w:hint="eastAsia"/>
          <w:color w:val="auto"/>
          <w:lang w:val="en-US" w:eastAsia="zh-CN"/>
        </w:rPr>
        <w:t>框架梁与柱的连接宜采用柱贯通型。</w:t>
      </w:r>
    </w:p>
    <w:p>
      <w:pPr>
        <w:pStyle w:val="5"/>
        <w:bidi w:val="0"/>
        <w:ind w:left="0" w:leftChars="0" w:firstLine="0" w:firstLineChars="0"/>
        <w:rPr>
          <w:rFonts w:hint="eastAsia"/>
          <w:color w:val="auto"/>
          <w:lang w:val="en-US" w:eastAsia="zh-CN"/>
        </w:rPr>
      </w:pPr>
      <w:bookmarkStart w:id="80" w:name="_Ref14769"/>
      <w:r>
        <w:rPr>
          <w:rFonts w:hint="eastAsia"/>
          <w:color w:val="auto"/>
          <w:lang w:val="en-US" w:eastAsia="zh-CN"/>
        </w:rPr>
        <w:t>钢排架结构屋盖支撑布置应符合</w:t>
      </w:r>
      <w:r>
        <w:rPr>
          <w:color w:val="auto"/>
        </w:rPr>
        <w:t>表</w:t>
      </w:r>
      <w:r>
        <w:rPr>
          <w:rFonts w:hint="default"/>
          <w:color w:val="auto"/>
          <w:lang w:val="en-US"/>
        </w:rPr>
        <w:fldChar w:fldCharType="begin"/>
      </w:r>
      <w:r>
        <w:rPr>
          <w:rFonts w:hint="default"/>
          <w:color w:val="auto"/>
          <w:lang w:val="en-US"/>
        </w:rPr>
        <w:instrText xml:space="preserve"> REF _Ref14769 \n \h </w:instrText>
      </w:r>
      <w:r>
        <w:rPr>
          <w:rFonts w:hint="default"/>
          <w:color w:val="auto"/>
          <w:lang w:val="en-US"/>
        </w:rPr>
        <w:fldChar w:fldCharType="separate"/>
      </w:r>
      <w:r>
        <w:rPr>
          <w:rFonts w:hint="default"/>
          <w:color w:val="auto"/>
          <w:lang w:val="en-US"/>
        </w:rPr>
        <w:t>7.4.4</w:t>
      </w:r>
      <w:r>
        <w:rPr>
          <w:rFonts w:hint="default"/>
          <w:color w:val="auto"/>
          <w:lang w:val="en-US"/>
        </w:rPr>
        <w:fldChar w:fldCharType="end"/>
      </w:r>
      <w:r>
        <w:rPr>
          <w:rFonts w:hint="eastAsia"/>
          <w:color w:val="auto"/>
          <w:lang w:val="en-US" w:eastAsia="zh-CN"/>
        </w:rPr>
        <w:t>-1和</w:t>
      </w:r>
      <w:r>
        <w:rPr>
          <w:color w:val="auto"/>
        </w:rPr>
        <w:t>表</w:t>
      </w:r>
      <w:r>
        <w:rPr>
          <w:rFonts w:hint="default"/>
          <w:color w:val="auto"/>
          <w:lang w:val="en-US"/>
        </w:rPr>
        <w:fldChar w:fldCharType="begin"/>
      </w:r>
      <w:r>
        <w:rPr>
          <w:rFonts w:hint="default"/>
          <w:color w:val="auto"/>
          <w:lang w:val="en-US"/>
        </w:rPr>
        <w:instrText xml:space="preserve"> REF _Ref14769 \n \h </w:instrText>
      </w:r>
      <w:r>
        <w:rPr>
          <w:rFonts w:hint="default"/>
          <w:color w:val="auto"/>
          <w:lang w:val="en-US"/>
        </w:rPr>
        <w:fldChar w:fldCharType="separate"/>
      </w:r>
      <w:r>
        <w:rPr>
          <w:rFonts w:hint="default"/>
          <w:color w:val="auto"/>
          <w:lang w:val="en-US"/>
        </w:rPr>
        <w:t>7.4.4</w:t>
      </w:r>
      <w:r>
        <w:rPr>
          <w:rFonts w:hint="default"/>
          <w:color w:val="auto"/>
          <w:lang w:val="en-US"/>
        </w:rPr>
        <w:fldChar w:fldCharType="end"/>
      </w:r>
      <w:r>
        <w:rPr>
          <w:rFonts w:hint="eastAsia"/>
          <w:color w:val="auto"/>
          <w:lang w:val="en-US" w:eastAsia="zh-CN"/>
        </w:rPr>
        <w:t>-2的规定。</w:t>
      </w:r>
    </w:p>
    <w:p>
      <w:pPr>
        <w:pStyle w:val="25"/>
        <w:bidi w:val="0"/>
        <w:rPr>
          <w:color w:val="auto"/>
        </w:rPr>
      </w:pPr>
      <w:r>
        <w:rPr>
          <w:color w:val="auto"/>
        </w:rPr>
        <w:t>表</w:t>
      </w:r>
      <w:r>
        <w:rPr>
          <w:rFonts w:hint="default"/>
          <w:color w:val="auto"/>
          <w:lang w:val="en-US"/>
        </w:rPr>
        <w:fldChar w:fldCharType="begin"/>
      </w:r>
      <w:r>
        <w:rPr>
          <w:rFonts w:hint="default"/>
          <w:color w:val="auto"/>
          <w:lang w:val="en-US"/>
        </w:rPr>
        <w:instrText xml:space="preserve"> REF _Ref14769 \n \h </w:instrText>
      </w:r>
      <w:r>
        <w:rPr>
          <w:rFonts w:hint="default"/>
          <w:color w:val="auto"/>
          <w:lang w:val="en-US"/>
        </w:rPr>
        <w:fldChar w:fldCharType="separate"/>
      </w:r>
      <w:r>
        <w:rPr>
          <w:rFonts w:hint="default"/>
          <w:color w:val="auto"/>
          <w:lang w:val="en-US"/>
        </w:rPr>
        <w:t>7.4.4</w:t>
      </w:r>
      <w:r>
        <w:rPr>
          <w:rFonts w:hint="default"/>
          <w:color w:val="auto"/>
          <w:lang w:val="en-US"/>
        </w:rPr>
        <w:fldChar w:fldCharType="end"/>
      </w:r>
      <w:r>
        <w:rPr>
          <w:color w:val="auto"/>
        </w:rPr>
        <w:t>-1 无檩屋盖的支撑系统布置</w:t>
      </w:r>
    </w:p>
    <w:p>
      <w:pPr>
        <w:spacing w:line="60" w:lineRule="exact"/>
        <w:rPr>
          <w:color w:val="auto"/>
        </w:rPr>
      </w:pPr>
    </w:p>
    <w:tbl>
      <w:tblPr>
        <w:tblStyle w:val="27"/>
        <w:tblW w:w="50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74"/>
        <w:gridCol w:w="849"/>
        <w:gridCol w:w="7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2" w:hRule="atLeast"/>
        </w:trPr>
        <w:tc>
          <w:tcPr>
            <w:tcW w:w="795" w:type="pct"/>
            <w:gridSpan w:val="2"/>
            <w:vAlign w:val="top"/>
          </w:tcPr>
          <w:p>
            <w:pPr>
              <w:pStyle w:val="24"/>
              <w:bidi w:val="0"/>
              <w:rPr>
                <w:color w:val="auto"/>
              </w:rPr>
            </w:pPr>
            <w:r>
              <w:rPr>
                <w:color w:val="auto"/>
              </w:rPr>
              <w:t>支撑名称</w:t>
            </w:r>
          </w:p>
        </w:tc>
        <w:tc>
          <w:tcPr>
            <w:tcW w:w="4204" w:type="pct"/>
            <w:vAlign w:val="top"/>
          </w:tcPr>
          <w:p>
            <w:pPr>
              <w:pStyle w:val="24"/>
              <w:bidi w:val="0"/>
              <w:rPr>
                <w:rFonts w:hint="default"/>
                <w:color w:val="auto"/>
                <w:lang w:val="en-US" w:eastAsia="zh-CN"/>
              </w:rPr>
            </w:pPr>
            <w:r>
              <w:rPr>
                <w:rFonts w:hint="eastAsia"/>
                <w:color w:val="auto"/>
                <w:lang w:val="en-US" w:eastAsia="zh-CN"/>
              </w:rPr>
              <w:t>布置位置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trPr>
        <w:tc>
          <w:tcPr>
            <w:tcW w:w="285" w:type="pct"/>
            <w:vMerge w:val="restart"/>
            <w:vAlign w:val="center"/>
          </w:tcPr>
          <w:p>
            <w:pPr>
              <w:pStyle w:val="24"/>
              <w:bidi w:val="0"/>
              <w:jc w:val="center"/>
              <w:rPr>
                <w:rFonts w:hint="default"/>
                <w:color w:val="auto"/>
                <w:lang w:val="en-US" w:eastAsia="zh-CN"/>
              </w:rPr>
            </w:pPr>
            <w:r>
              <w:rPr>
                <w:rFonts w:hint="eastAsia"/>
                <w:color w:val="auto"/>
                <w:lang w:val="en-US" w:eastAsia="zh-CN"/>
              </w:rPr>
              <w:t>屋架支撑</w:t>
            </w:r>
          </w:p>
        </w:tc>
        <w:tc>
          <w:tcPr>
            <w:tcW w:w="509" w:type="pct"/>
            <w:vAlign w:val="center"/>
          </w:tcPr>
          <w:p>
            <w:pPr>
              <w:pStyle w:val="24"/>
              <w:bidi w:val="0"/>
              <w:jc w:val="center"/>
              <w:rPr>
                <w:color w:val="auto"/>
              </w:rPr>
            </w:pPr>
            <w:r>
              <w:rPr>
                <w:color w:val="auto"/>
              </w:rPr>
              <w:t>横向支撑</w:t>
            </w:r>
          </w:p>
        </w:tc>
        <w:tc>
          <w:tcPr>
            <w:tcW w:w="4204" w:type="pct"/>
            <w:vAlign w:val="top"/>
          </w:tcPr>
          <w:p>
            <w:pPr>
              <w:pStyle w:val="24"/>
              <w:bidi w:val="0"/>
              <w:jc w:val="left"/>
              <w:rPr>
                <w:rFonts w:hint="eastAsia"/>
                <w:color w:val="auto"/>
                <w:lang w:eastAsia="zh-CN"/>
              </w:rPr>
            </w:pPr>
            <w:r>
              <w:rPr>
                <w:rFonts w:hint="eastAsia"/>
                <w:color w:val="auto"/>
                <w:lang w:val="en-US" w:eastAsia="zh-CN"/>
              </w:rPr>
              <w:t>建筑</w:t>
            </w:r>
            <w:r>
              <w:rPr>
                <w:rFonts w:hint="eastAsia"/>
                <w:color w:val="auto"/>
                <w:lang w:eastAsia="zh-CN"/>
              </w:rPr>
              <w:t>单元（</w:t>
            </w:r>
            <w:r>
              <w:rPr>
                <w:rFonts w:hint="eastAsia"/>
                <w:color w:val="auto"/>
                <w:lang w:val="en-US" w:eastAsia="zh-CN"/>
              </w:rPr>
              <w:t>温度区段</w:t>
            </w:r>
            <w:r>
              <w:rPr>
                <w:rFonts w:hint="eastAsia"/>
                <w:color w:val="auto"/>
                <w:lang w:eastAsia="zh-CN"/>
              </w:rPr>
              <w:t>）端开间及每隔60m各设一道；</w:t>
            </w:r>
            <w:r>
              <w:rPr>
                <w:rFonts w:hint="eastAsia"/>
                <w:color w:val="auto"/>
                <w:lang w:val="en-US" w:eastAsia="zh-CN"/>
              </w:rPr>
              <w:t>当房屋端部不设置屋架而以山墙承重时，支撑的位置可移至第二个开间内，同时</w:t>
            </w:r>
            <w:r>
              <w:rPr>
                <w:rFonts w:hint="eastAsia"/>
                <w:color w:val="auto"/>
                <w:lang w:eastAsia="zh-CN"/>
              </w:rPr>
              <w:t>屋架横向支撑与山墙墙梁间用刚性系杆相连；下承式屋架跨度≥24m时</w:t>
            </w:r>
            <w:r>
              <w:rPr>
                <w:rFonts w:hint="eastAsia"/>
                <w:color w:val="auto"/>
                <w:lang w:val="en-US" w:eastAsia="zh-CN"/>
              </w:rPr>
              <w:t>或</w:t>
            </w:r>
            <w:r>
              <w:rPr>
                <w:rFonts w:hint="eastAsia"/>
                <w:color w:val="auto"/>
                <w:lang w:eastAsia="zh-CN"/>
              </w:rPr>
              <w:t>山墙抗风柱支承于屋架下弦时，宜设置屋架下弦横向支撑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6" w:hRule="atLeast"/>
        </w:trPr>
        <w:tc>
          <w:tcPr>
            <w:tcW w:w="285" w:type="pct"/>
            <w:vMerge w:val="continue"/>
            <w:vAlign w:val="center"/>
          </w:tcPr>
          <w:p>
            <w:pPr>
              <w:pStyle w:val="24"/>
              <w:bidi w:val="0"/>
              <w:jc w:val="center"/>
              <w:rPr>
                <w:rFonts w:hint="default"/>
                <w:color w:val="auto"/>
                <w:lang w:val="en-US" w:eastAsia="zh-CN"/>
              </w:rPr>
            </w:pPr>
          </w:p>
        </w:tc>
        <w:tc>
          <w:tcPr>
            <w:tcW w:w="509" w:type="pct"/>
            <w:vAlign w:val="center"/>
          </w:tcPr>
          <w:p>
            <w:pPr>
              <w:pStyle w:val="24"/>
              <w:bidi w:val="0"/>
              <w:jc w:val="center"/>
              <w:rPr>
                <w:color w:val="auto"/>
              </w:rPr>
            </w:pPr>
            <w:r>
              <w:rPr>
                <w:color w:val="auto"/>
              </w:rPr>
              <w:t>通长水平系杆</w:t>
            </w:r>
          </w:p>
        </w:tc>
        <w:tc>
          <w:tcPr>
            <w:tcW w:w="4204" w:type="pct"/>
            <w:vAlign w:val="top"/>
          </w:tcPr>
          <w:p>
            <w:pPr>
              <w:pStyle w:val="24"/>
              <w:bidi w:val="0"/>
              <w:jc w:val="left"/>
              <w:rPr>
                <w:rFonts w:hint="eastAsia"/>
                <w:color w:val="auto"/>
                <w:lang w:val="en-US" w:eastAsia="zh-CN"/>
              </w:rPr>
            </w:pPr>
            <w:r>
              <w:rPr>
                <w:rFonts w:hint="eastAsia"/>
                <w:color w:val="auto"/>
                <w:lang w:val="en-US" w:eastAsia="zh-CN"/>
              </w:rPr>
              <w:t>屋架上弦屋脊节点处、屋架端部支座节点处通长设置一道刚性系杆，下承式屋架尚应在屋架上弦端部节点处通长增设置一道刚性系杆；</w:t>
            </w:r>
            <w:r>
              <w:rPr>
                <w:rFonts w:hint="default"/>
                <w:color w:val="auto"/>
                <w:lang w:val="en-US" w:eastAsia="zh-CN"/>
              </w:rPr>
              <w:t>在对应垂直支撑的上、下弦处，通长设置一道柔性系杆</w:t>
            </w:r>
            <w:r>
              <w:rPr>
                <w:rFonts w:hint="eastAsia"/>
                <w:color w:val="auto"/>
                <w:lang w:val="en-US" w:eastAsia="zh-CN"/>
              </w:rPr>
              <w:t>；有弯折下弦的屋架，宜在下弦弯折处设置通长的柔性系杆，并与下弦横向水平支撑节点连接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trPr>
        <w:tc>
          <w:tcPr>
            <w:tcW w:w="285" w:type="pct"/>
            <w:vMerge w:val="continue"/>
            <w:vAlign w:val="center"/>
          </w:tcPr>
          <w:p>
            <w:pPr>
              <w:pStyle w:val="24"/>
              <w:bidi w:val="0"/>
              <w:jc w:val="center"/>
              <w:rPr>
                <w:rFonts w:hint="default"/>
                <w:color w:val="auto"/>
                <w:lang w:val="en-US" w:eastAsia="zh-CN"/>
              </w:rPr>
            </w:pPr>
          </w:p>
        </w:tc>
        <w:tc>
          <w:tcPr>
            <w:tcW w:w="509" w:type="pct"/>
            <w:vAlign w:val="center"/>
          </w:tcPr>
          <w:p>
            <w:pPr>
              <w:pStyle w:val="24"/>
              <w:bidi w:val="0"/>
              <w:jc w:val="center"/>
              <w:rPr>
                <w:rFonts w:hint="default"/>
                <w:color w:val="auto"/>
                <w:lang w:val="en-US" w:eastAsia="zh-CN"/>
              </w:rPr>
            </w:pPr>
            <w:r>
              <w:rPr>
                <w:rFonts w:hint="eastAsia"/>
                <w:color w:val="auto"/>
                <w:lang w:val="en-US" w:eastAsia="zh-CN"/>
              </w:rPr>
              <w:t>竖向支撑</w:t>
            </w:r>
          </w:p>
        </w:tc>
        <w:tc>
          <w:tcPr>
            <w:tcW w:w="4204" w:type="pct"/>
            <w:vAlign w:val="top"/>
          </w:tcPr>
          <w:p>
            <w:pPr>
              <w:pStyle w:val="24"/>
              <w:bidi w:val="0"/>
              <w:jc w:val="left"/>
              <w:rPr>
                <w:rFonts w:hint="eastAsia"/>
                <w:color w:val="auto"/>
                <w:lang w:eastAsia="zh-CN"/>
              </w:rPr>
            </w:pPr>
            <w:r>
              <w:rPr>
                <w:rFonts w:hint="eastAsia"/>
                <w:color w:val="auto"/>
                <w:lang w:eastAsia="zh-CN"/>
              </w:rPr>
              <w:t>梯形、人字形及平行弦等</w:t>
            </w:r>
            <w:r>
              <w:rPr>
                <w:rFonts w:hint="eastAsia"/>
                <w:color w:val="auto"/>
                <w:lang w:val="en-US" w:eastAsia="zh-CN"/>
              </w:rPr>
              <w:t>屋架</w:t>
            </w:r>
            <w:r>
              <w:rPr>
                <w:rFonts w:hint="eastAsia"/>
                <w:color w:val="auto"/>
                <w:lang w:eastAsia="zh-CN"/>
              </w:rPr>
              <w:t>端部高度大于900mm时，应在屋架端部设置</w:t>
            </w:r>
            <w:r>
              <w:rPr>
                <w:rFonts w:hint="eastAsia"/>
                <w:color w:val="auto"/>
                <w:lang w:val="en-US" w:eastAsia="zh-CN"/>
              </w:rPr>
              <w:t>竖向</w:t>
            </w:r>
            <w:r>
              <w:rPr>
                <w:rFonts w:hint="eastAsia"/>
                <w:color w:val="auto"/>
                <w:lang w:eastAsia="zh-CN"/>
              </w:rPr>
              <w:t>支撑；除屋架端部外，当屋架跨度</w:t>
            </w:r>
            <w:r>
              <w:rPr>
                <w:rFonts w:hint="eastAsia"/>
                <w:color w:val="auto"/>
                <w:lang w:val="en-US" w:eastAsia="zh-CN"/>
              </w:rPr>
              <w:t>l</w:t>
            </w:r>
            <w:r>
              <w:rPr>
                <w:rFonts w:hint="eastAsia"/>
                <w:color w:val="auto"/>
                <w:lang w:eastAsia="zh-CN"/>
              </w:rPr>
              <w:t>≤30m时，在跨度中央设置―道</w:t>
            </w:r>
            <w:r>
              <w:rPr>
                <w:rFonts w:hint="eastAsia"/>
                <w:color w:val="auto"/>
                <w:lang w:val="en-US" w:eastAsia="zh-CN"/>
              </w:rPr>
              <w:t>竖向</w:t>
            </w:r>
            <w:r>
              <w:rPr>
                <w:rFonts w:hint="eastAsia"/>
                <w:color w:val="auto"/>
                <w:lang w:eastAsia="zh-CN"/>
              </w:rPr>
              <w:t>支撑；当屋架跨度l&gt;30m时，在跨度中部设置两道</w:t>
            </w:r>
            <w:r>
              <w:rPr>
                <w:rFonts w:hint="eastAsia"/>
                <w:color w:val="auto"/>
                <w:lang w:val="en-US" w:eastAsia="zh-CN"/>
              </w:rPr>
              <w:t>竖向</w:t>
            </w:r>
            <w:r>
              <w:rPr>
                <w:rFonts w:hint="eastAsia"/>
                <w:color w:val="auto"/>
                <w:lang w:eastAsia="zh-CN"/>
              </w:rPr>
              <w:t>支撑；三角形屋架跨中</w:t>
            </w:r>
            <w:r>
              <w:rPr>
                <w:rFonts w:hint="eastAsia"/>
                <w:color w:val="auto"/>
                <w:lang w:val="en-US" w:eastAsia="zh-CN"/>
              </w:rPr>
              <w:t>应有</w:t>
            </w:r>
            <w:r>
              <w:rPr>
                <w:rFonts w:hint="eastAsia"/>
                <w:color w:val="auto"/>
                <w:lang w:eastAsia="zh-CN"/>
              </w:rPr>
              <w:t>一道</w:t>
            </w:r>
            <w:r>
              <w:rPr>
                <w:rFonts w:hint="eastAsia"/>
                <w:color w:val="auto"/>
                <w:lang w:val="en-US" w:eastAsia="zh-CN"/>
              </w:rPr>
              <w:t>竖向</w:t>
            </w:r>
            <w:r>
              <w:rPr>
                <w:rFonts w:hint="eastAsia"/>
                <w:color w:val="auto"/>
                <w:lang w:eastAsia="zh-CN"/>
              </w:rPr>
              <w:t>支撑；芬克式屋架，当无下弦横向水平支撑时，宜设置两道</w:t>
            </w:r>
            <w:r>
              <w:rPr>
                <w:rFonts w:hint="eastAsia"/>
                <w:color w:val="auto"/>
                <w:lang w:val="en-US" w:eastAsia="zh-CN"/>
              </w:rPr>
              <w:t>竖向</w:t>
            </w:r>
            <w:r>
              <w:rPr>
                <w:rFonts w:hint="eastAsia"/>
                <w:color w:val="auto"/>
                <w:lang w:eastAsia="zh-CN"/>
              </w:rPr>
              <w:t>支撑；</w:t>
            </w:r>
            <w:r>
              <w:rPr>
                <w:rFonts w:hint="eastAsia"/>
                <w:color w:val="auto"/>
                <w:lang w:val="en-US" w:eastAsia="zh-CN"/>
              </w:rPr>
              <w:t>竖向</w:t>
            </w:r>
            <w:r>
              <w:rPr>
                <w:rFonts w:hint="eastAsia"/>
                <w:color w:val="auto"/>
                <w:lang w:eastAsia="zh-CN"/>
              </w:rPr>
              <w:t>支撑宜与上、下弦横向水平支撑设在同一开间内</w:t>
            </w:r>
          </w:p>
        </w:tc>
      </w:tr>
    </w:tbl>
    <w:p>
      <w:pPr>
        <w:pStyle w:val="39"/>
        <w:bidi w:val="0"/>
        <w:rPr>
          <w:rFonts w:hint="default"/>
          <w:color w:val="auto"/>
          <w:lang w:val="en-US" w:eastAsia="zh-CN"/>
        </w:rPr>
      </w:pPr>
      <w:r>
        <w:rPr>
          <w:rFonts w:hint="eastAsia"/>
          <w:color w:val="auto"/>
          <w:lang w:val="en-US" w:eastAsia="zh-CN"/>
        </w:rPr>
        <w:t>注：1 屋架的横向支撑应设置在传递屋架支座反力的平面内，当屋架为上承式时，应以上弦横向支撑为主，此时一般可不对应设置下弦横向支撑；当屋架为下承式时，应以下弦横向支撑为主，但同时宜在同一屋架区间内对应设置上弦横向支撑。下同。</w:t>
      </w:r>
    </w:p>
    <w:p>
      <w:pPr>
        <w:pStyle w:val="38"/>
        <w:bidi w:val="0"/>
        <w:rPr>
          <w:rFonts w:hint="eastAsia"/>
          <w:color w:val="auto"/>
          <w:lang w:val="en-US" w:eastAsia="zh-CN"/>
        </w:rPr>
      </w:pPr>
      <w:r>
        <w:rPr>
          <w:rFonts w:hint="eastAsia"/>
          <w:color w:val="auto"/>
          <w:lang w:val="en-US" w:eastAsia="zh-CN"/>
        </w:rPr>
        <w:t>2 屋架上弦系杆可用檩条代替，采用檩条代替时，檩条应满足压杆的要求。下同。</w:t>
      </w:r>
    </w:p>
    <w:p>
      <w:pPr>
        <w:pStyle w:val="25"/>
        <w:bidi w:val="0"/>
        <w:rPr>
          <w:color w:val="auto"/>
        </w:rPr>
      </w:pPr>
      <w:r>
        <w:rPr>
          <w:color w:val="auto"/>
        </w:rPr>
        <w:t>表</w:t>
      </w:r>
      <w:r>
        <w:rPr>
          <w:rFonts w:hint="default"/>
          <w:color w:val="auto"/>
          <w:lang w:val="en-US"/>
        </w:rPr>
        <w:fldChar w:fldCharType="begin"/>
      </w:r>
      <w:r>
        <w:rPr>
          <w:rFonts w:hint="default"/>
          <w:color w:val="auto"/>
          <w:lang w:val="en-US"/>
        </w:rPr>
        <w:instrText xml:space="preserve"> REF _Ref14769 \n \h </w:instrText>
      </w:r>
      <w:r>
        <w:rPr>
          <w:rFonts w:hint="default"/>
          <w:color w:val="auto"/>
          <w:lang w:val="en-US"/>
        </w:rPr>
        <w:fldChar w:fldCharType="separate"/>
      </w:r>
      <w:r>
        <w:rPr>
          <w:rFonts w:hint="default"/>
          <w:color w:val="auto"/>
          <w:lang w:val="en-US"/>
        </w:rPr>
        <w:t>7.4.4</w:t>
      </w:r>
      <w:r>
        <w:rPr>
          <w:rFonts w:hint="default"/>
          <w:color w:val="auto"/>
          <w:lang w:val="en-US"/>
        </w:rPr>
        <w:fldChar w:fldCharType="end"/>
      </w:r>
      <w:r>
        <w:rPr>
          <w:color w:val="auto"/>
        </w:rPr>
        <w:t>-2 有檩屋盖的支撑系统布置</w:t>
      </w:r>
    </w:p>
    <w:p>
      <w:pPr>
        <w:spacing w:line="56" w:lineRule="exact"/>
        <w:rPr>
          <w:color w:val="auto"/>
        </w:rPr>
      </w:pPr>
    </w:p>
    <w:tbl>
      <w:tblPr>
        <w:tblStyle w:val="27"/>
        <w:tblW w:w="501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19"/>
        <w:gridCol w:w="1148"/>
        <w:gridCol w:w="66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7" w:hRule="atLeast"/>
        </w:trPr>
        <w:tc>
          <w:tcPr>
            <w:tcW w:w="999" w:type="pct"/>
            <w:gridSpan w:val="2"/>
            <w:tcBorders>
              <w:bottom w:val="nil"/>
            </w:tcBorders>
            <w:vAlign w:val="top"/>
          </w:tcPr>
          <w:p>
            <w:pPr>
              <w:pStyle w:val="24"/>
              <w:bidi w:val="0"/>
              <w:rPr>
                <w:color w:val="auto"/>
              </w:rPr>
            </w:pPr>
            <w:r>
              <w:rPr>
                <w:color w:val="auto"/>
              </w:rPr>
              <w:t>支撑名称</w:t>
            </w:r>
          </w:p>
        </w:tc>
        <w:tc>
          <w:tcPr>
            <w:tcW w:w="4000" w:type="pct"/>
            <w:tcBorders>
              <w:right w:val="single" w:color="auto" w:sz="4" w:space="0"/>
            </w:tcBorders>
            <w:vAlign w:val="top"/>
          </w:tcPr>
          <w:p>
            <w:pPr>
              <w:pStyle w:val="24"/>
              <w:bidi w:val="0"/>
              <w:jc w:val="center"/>
              <w:rPr>
                <w:color w:val="auto"/>
              </w:rPr>
            </w:pPr>
            <w:r>
              <w:rPr>
                <w:rFonts w:hint="eastAsia"/>
                <w:color w:val="auto"/>
                <w:lang w:val="en-US" w:eastAsia="zh-CN"/>
              </w:rPr>
              <w:t>布置位置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311" w:type="pct"/>
            <w:vMerge w:val="restart"/>
            <w:tcBorders>
              <w:bottom w:val="nil"/>
            </w:tcBorders>
            <w:vAlign w:val="center"/>
          </w:tcPr>
          <w:p>
            <w:pPr>
              <w:pStyle w:val="24"/>
              <w:bidi w:val="0"/>
              <w:jc w:val="center"/>
              <w:rPr>
                <w:color w:val="auto"/>
              </w:rPr>
            </w:pPr>
            <w:r>
              <w:rPr>
                <w:color w:val="auto"/>
              </w:rPr>
              <w:t>屋架支撑</w:t>
            </w:r>
          </w:p>
        </w:tc>
        <w:tc>
          <w:tcPr>
            <w:tcW w:w="688" w:type="pct"/>
            <w:vAlign w:val="center"/>
          </w:tcPr>
          <w:p>
            <w:pPr>
              <w:pStyle w:val="24"/>
              <w:bidi w:val="0"/>
              <w:jc w:val="center"/>
              <w:rPr>
                <w:color w:val="auto"/>
              </w:rPr>
            </w:pPr>
            <w:r>
              <w:rPr>
                <w:color w:val="auto"/>
              </w:rPr>
              <w:t>横向支撑</w:t>
            </w:r>
          </w:p>
        </w:tc>
        <w:tc>
          <w:tcPr>
            <w:tcW w:w="4000" w:type="pct"/>
            <w:vAlign w:val="top"/>
          </w:tcPr>
          <w:p>
            <w:pPr>
              <w:pStyle w:val="24"/>
              <w:bidi w:val="0"/>
              <w:ind w:firstLine="239" w:firstLineChars="114"/>
              <w:jc w:val="left"/>
              <w:rPr>
                <w:rFonts w:hint="eastAsia" w:eastAsia="宋体"/>
                <w:color w:val="auto"/>
                <w:lang w:eastAsia="zh-CN"/>
              </w:rPr>
            </w:pPr>
            <w:r>
              <w:rPr>
                <w:rFonts w:hint="eastAsia"/>
                <w:color w:val="auto"/>
                <w:lang w:val="en-US" w:eastAsia="zh-CN"/>
              </w:rPr>
              <w:t>建筑</w:t>
            </w:r>
            <w:r>
              <w:rPr>
                <w:rFonts w:hint="eastAsia"/>
                <w:color w:val="auto"/>
                <w:lang w:eastAsia="zh-CN"/>
              </w:rPr>
              <w:t>单元端开间及每隔60m各设一道</w:t>
            </w:r>
            <w:r>
              <w:rPr>
                <w:rFonts w:hint="eastAsia"/>
                <w:color w:val="auto"/>
                <w:lang w:val="en-US" w:eastAsia="zh-CN"/>
              </w:rPr>
              <w:t>上弦横向支撑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67" w:hRule="atLeast"/>
        </w:trPr>
        <w:tc>
          <w:tcPr>
            <w:tcW w:w="311" w:type="pct"/>
            <w:vMerge w:val="continue"/>
            <w:tcBorders>
              <w:top w:val="nil"/>
              <w:bottom w:val="nil"/>
            </w:tcBorders>
            <w:textDirection w:val="tbRlV"/>
            <w:vAlign w:val="center"/>
          </w:tcPr>
          <w:p>
            <w:pPr>
              <w:pStyle w:val="24"/>
              <w:bidi w:val="0"/>
              <w:jc w:val="center"/>
              <w:rPr>
                <w:color w:val="auto"/>
              </w:rPr>
            </w:pPr>
          </w:p>
        </w:tc>
        <w:tc>
          <w:tcPr>
            <w:tcW w:w="688" w:type="pct"/>
            <w:vAlign w:val="center"/>
          </w:tcPr>
          <w:p>
            <w:pPr>
              <w:pStyle w:val="24"/>
              <w:bidi w:val="0"/>
              <w:jc w:val="center"/>
              <w:rPr>
                <w:color w:val="auto"/>
              </w:rPr>
            </w:pPr>
            <w:r>
              <w:rPr>
                <w:color w:val="auto"/>
              </w:rPr>
              <w:t>竖向支撑</w:t>
            </w:r>
          </w:p>
        </w:tc>
        <w:tc>
          <w:tcPr>
            <w:tcW w:w="4000" w:type="pct"/>
            <w:tcBorders>
              <w:right w:val="single" w:color="auto" w:sz="4" w:space="0"/>
            </w:tcBorders>
            <w:vAlign w:val="top"/>
          </w:tcPr>
          <w:p>
            <w:pPr>
              <w:pStyle w:val="24"/>
              <w:bidi w:val="0"/>
              <w:jc w:val="left"/>
              <w:rPr>
                <w:rFonts w:hint="eastAsia"/>
                <w:color w:val="auto"/>
                <w:lang w:eastAsia="zh-CN"/>
              </w:rPr>
            </w:pPr>
            <w:r>
              <w:rPr>
                <w:rFonts w:hint="eastAsia"/>
                <w:color w:val="auto"/>
                <w:lang w:eastAsia="zh-CN"/>
              </w:rPr>
              <w:t>屋架端部高度大于900mm时，建筑单元端开间及柱间支撑开间</w:t>
            </w:r>
            <w:r>
              <w:rPr>
                <w:rFonts w:hint="eastAsia"/>
                <w:color w:val="auto"/>
                <w:lang w:val="en-US" w:eastAsia="zh-CN"/>
              </w:rPr>
              <w:t>的屋架端部</w:t>
            </w:r>
            <w:r>
              <w:rPr>
                <w:rFonts w:hint="eastAsia"/>
                <w:color w:val="auto"/>
                <w:lang w:eastAsia="zh-CN"/>
              </w:rPr>
              <w:t>各设一道</w:t>
            </w:r>
            <w:r>
              <w:rPr>
                <w:rFonts w:hint="eastAsia"/>
                <w:color w:val="auto"/>
                <w:lang w:val="en-US" w:eastAsia="zh-CN"/>
              </w:rPr>
              <w:t>竖向</w:t>
            </w:r>
            <w:r>
              <w:rPr>
                <w:rFonts w:hint="eastAsia"/>
                <w:color w:val="auto"/>
                <w:lang w:eastAsia="zh-CN"/>
              </w:rPr>
              <w:t>支撑；当屋架跨度</w:t>
            </w:r>
            <w:r>
              <w:rPr>
                <w:rFonts w:hint="eastAsia"/>
                <w:color w:val="auto"/>
                <w:lang w:val="en-US" w:eastAsia="zh-CN"/>
              </w:rPr>
              <w:t>l</w:t>
            </w:r>
            <w:r>
              <w:rPr>
                <w:rFonts w:hint="eastAsia"/>
                <w:color w:val="auto"/>
                <w:lang w:eastAsia="zh-CN"/>
              </w:rPr>
              <w:t>≤30m时，在跨度中央设置―道</w:t>
            </w:r>
            <w:r>
              <w:rPr>
                <w:rFonts w:hint="eastAsia"/>
                <w:color w:val="auto"/>
                <w:lang w:val="en-US" w:eastAsia="zh-CN"/>
              </w:rPr>
              <w:t>竖向</w:t>
            </w:r>
            <w:r>
              <w:rPr>
                <w:rFonts w:hint="eastAsia"/>
                <w:color w:val="auto"/>
                <w:lang w:eastAsia="zh-CN"/>
              </w:rPr>
              <w:t>支撑；当屋架跨度l&gt;30m时，在跨度中部设置两道垂直支撑；三角形屋架跨中</w:t>
            </w:r>
            <w:r>
              <w:rPr>
                <w:rFonts w:hint="eastAsia"/>
                <w:color w:val="auto"/>
                <w:lang w:val="en-US" w:eastAsia="zh-CN"/>
              </w:rPr>
              <w:t>应有</w:t>
            </w:r>
            <w:r>
              <w:rPr>
                <w:rFonts w:hint="eastAsia"/>
                <w:color w:val="auto"/>
                <w:lang w:eastAsia="zh-CN"/>
              </w:rPr>
              <w:t>一道</w:t>
            </w:r>
            <w:r>
              <w:rPr>
                <w:rFonts w:hint="eastAsia"/>
                <w:color w:val="auto"/>
                <w:lang w:val="en-US" w:eastAsia="zh-CN"/>
              </w:rPr>
              <w:t>竖向</w:t>
            </w:r>
            <w:r>
              <w:rPr>
                <w:rFonts w:hint="eastAsia"/>
                <w:color w:val="auto"/>
                <w:lang w:eastAsia="zh-CN"/>
              </w:rPr>
              <w:t>支撑；芬克式屋架，当无下弦横向水平支撑时，宜设置两道</w:t>
            </w:r>
            <w:r>
              <w:rPr>
                <w:rFonts w:hint="eastAsia"/>
                <w:color w:val="auto"/>
                <w:lang w:val="en-US" w:eastAsia="zh-CN"/>
              </w:rPr>
              <w:t>竖向</w:t>
            </w:r>
            <w:r>
              <w:rPr>
                <w:rFonts w:hint="eastAsia"/>
                <w:color w:val="auto"/>
                <w:lang w:eastAsia="zh-CN"/>
              </w:rPr>
              <w:t>支撑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 w:hRule="atLeast"/>
        </w:trPr>
        <w:tc>
          <w:tcPr>
            <w:tcW w:w="311" w:type="pct"/>
            <w:vMerge w:val="continue"/>
            <w:tcBorders>
              <w:top w:val="nil"/>
            </w:tcBorders>
            <w:textDirection w:val="tbRlV"/>
            <w:vAlign w:val="center"/>
          </w:tcPr>
          <w:p>
            <w:pPr>
              <w:pStyle w:val="24"/>
              <w:bidi w:val="0"/>
              <w:jc w:val="center"/>
              <w:rPr>
                <w:color w:val="auto"/>
              </w:rPr>
            </w:pPr>
          </w:p>
        </w:tc>
        <w:tc>
          <w:tcPr>
            <w:tcW w:w="688" w:type="pct"/>
            <w:vAlign w:val="center"/>
          </w:tcPr>
          <w:p>
            <w:pPr>
              <w:pStyle w:val="24"/>
              <w:bidi w:val="0"/>
              <w:jc w:val="center"/>
              <w:rPr>
                <w:color w:val="auto"/>
              </w:rPr>
            </w:pPr>
            <w:r>
              <w:rPr>
                <w:color w:val="auto"/>
              </w:rPr>
              <w:t>通长水平系杆</w:t>
            </w:r>
          </w:p>
        </w:tc>
        <w:tc>
          <w:tcPr>
            <w:tcW w:w="4000" w:type="pct"/>
            <w:vAlign w:val="top"/>
          </w:tcPr>
          <w:p>
            <w:pPr>
              <w:pStyle w:val="24"/>
              <w:bidi w:val="0"/>
              <w:jc w:val="left"/>
              <w:rPr>
                <w:rFonts w:hint="eastAsia"/>
                <w:color w:val="auto"/>
                <w:lang w:val="en-US" w:eastAsia="zh-CN"/>
              </w:rPr>
            </w:pPr>
            <w:r>
              <w:rPr>
                <w:rFonts w:hint="eastAsia"/>
                <w:color w:val="auto"/>
                <w:lang w:val="en-US" w:eastAsia="zh-CN"/>
              </w:rPr>
              <w:t>屋架上弦屋脊节点处、屋架端部支座节点处通长设置一道刚性系杆，下承式屋架尚应在屋架上弦端部节点处通长增设置一道刚性系杆；</w:t>
            </w:r>
            <w:r>
              <w:rPr>
                <w:rFonts w:hint="default"/>
                <w:color w:val="auto"/>
                <w:lang w:val="en-US" w:eastAsia="zh-CN"/>
              </w:rPr>
              <w:t>在对应垂直支撑的上、下弦处，通长设置一道柔性系杆</w:t>
            </w:r>
            <w:r>
              <w:rPr>
                <w:rFonts w:hint="eastAsia"/>
                <w:color w:val="auto"/>
                <w:lang w:val="en-US" w:eastAsia="zh-CN"/>
              </w:rPr>
              <w:t>；有弯折下弦的屋架，宜在下弦弯折处设置通长的柔性系杆，并与下弦横向水平支撑节点连接</w:t>
            </w:r>
          </w:p>
        </w:tc>
      </w:tr>
      <w:bookmarkEnd w:id="80"/>
    </w:tbl>
    <w:p>
      <w:pPr>
        <w:pStyle w:val="5"/>
        <w:bidi w:val="0"/>
        <w:ind w:left="0" w:leftChars="0" w:firstLine="0" w:firstLineChars="0"/>
        <w:rPr>
          <w:rFonts w:hint="eastAsia"/>
          <w:color w:val="auto"/>
          <w:lang w:eastAsia="zh-CN"/>
        </w:rPr>
      </w:pPr>
      <w:r>
        <w:rPr>
          <w:rFonts w:hint="eastAsia"/>
          <w:color w:val="auto"/>
          <w:lang w:val="en-US" w:eastAsia="zh-CN"/>
        </w:rPr>
        <w:t>钢排架结构</w:t>
      </w:r>
      <w:r>
        <w:rPr>
          <w:rFonts w:hint="eastAsia"/>
          <w:color w:val="auto"/>
          <w:lang w:eastAsia="zh-CN"/>
        </w:rPr>
        <w:t>柱间支撑应符合下列要求：</w:t>
      </w:r>
    </w:p>
    <w:p>
      <w:pPr>
        <w:pStyle w:val="36"/>
        <w:bidi w:val="0"/>
        <w:rPr>
          <w:rFonts w:hint="eastAsia"/>
          <w:color w:val="auto"/>
          <w:lang w:eastAsia="zh-CN"/>
        </w:rPr>
      </w:pPr>
      <w:r>
        <w:rPr>
          <w:rFonts w:hint="eastAsia"/>
          <w:color w:val="auto"/>
          <w:lang w:val="en-US" w:eastAsia="zh-CN"/>
        </w:rPr>
        <w:t>钢排架结构</w:t>
      </w:r>
      <w:r>
        <w:rPr>
          <w:rFonts w:hint="eastAsia"/>
          <w:color w:val="auto"/>
          <w:lang w:eastAsia="zh-CN"/>
        </w:rPr>
        <w:t>的各纵向柱列，应在单元中部布置一道下柱柱间支撑；当柱距数不超过5个且建筑长度小于60m时，</w:t>
      </w:r>
      <w:r>
        <w:rPr>
          <w:rFonts w:hint="eastAsia"/>
          <w:color w:val="auto"/>
          <w:lang w:val="en-US" w:eastAsia="zh-CN"/>
        </w:rPr>
        <w:t>也</w:t>
      </w:r>
      <w:r>
        <w:rPr>
          <w:rFonts w:hint="eastAsia"/>
          <w:color w:val="auto"/>
          <w:lang w:eastAsia="zh-CN"/>
        </w:rPr>
        <w:t>可在建筑单元的两端布置下柱支撑。</w:t>
      </w:r>
    </w:p>
    <w:p>
      <w:pPr>
        <w:pStyle w:val="36"/>
        <w:bidi w:val="0"/>
        <w:rPr>
          <w:rFonts w:hint="eastAsia"/>
          <w:color w:val="auto"/>
          <w:lang w:eastAsia="zh-CN"/>
        </w:rPr>
      </w:pPr>
      <w:r>
        <w:rPr>
          <w:rFonts w:hint="eastAsia"/>
          <w:color w:val="auto"/>
          <w:lang w:eastAsia="zh-CN"/>
        </w:rPr>
        <w:t>上柱柱间支撑应布置在建筑单元两端和具有下柱支撑的柱间。</w:t>
      </w:r>
    </w:p>
    <w:p>
      <w:pPr>
        <w:pStyle w:val="5"/>
        <w:bidi w:val="0"/>
        <w:ind w:left="0" w:leftChars="0" w:firstLine="0" w:firstLineChars="0"/>
        <w:rPr>
          <w:rFonts w:hint="eastAsia"/>
          <w:color w:val="auto"/>
          <w:lang w:val="en-US" w:eastAsia="zh-CN"/>
        </w:rPr>
      </w:pPr>
      <w:r>
        <w:rPr>
          <w:rFonts w:hint="eastAsia"/>
          <w:color w:val="auto"/>
          <w:lang w:val="en-US" w:eastAsia="zh-CN"/>
        </w:rPr>
        <w:t>门式刚架结构支撑设置应符合以下规定：</w:t>
      </w:r>
    </w:p>
    <w:p>
      <w:pPr>
        <w:pStyle w:val="36"/>
        <w:bidi w:val="0"/>
        <w:rPr>
          <w:rFonts w:hint="eastAsia"/>
          <w:color w:val="auto"/>
          <w:lang w:val="en-US" w:eastAsia="zh-CN"/>
        </w:rPr>
      </w:pPr>
      <w:r>
        <w:rPr>
          <w:rFonts w:hint="eastAsia"/>
          <w:color w:val="auto"/>
          <w:lang w:val="en-US" w:eastAsia="zh-CN"/>
        </w:rPr>
        <w:t>柱间支撑与屋盖横向支撑宜设置在同一开间；</w:t>
      </w:r>
    </w:p>
    <w:p>
      <w:pPr>
        <w:pStyle w:val="36"/>
        <w:bidi w:val="0"/>
        <w:rPr>
          <w:rFonts w:hint="eastAsia"/>
          <w:color w:val="auto"/>
          <w:lang w:val="en-US" w:eastAsia="zh-CN"/>
        </w:rPr>
      </w:pPr>
      <w:r>
        <w:rPr>
          <w:rFonts w:hint="eastAsia"/>
          <w:color w:val="auto"/>
          <w:lang w:val="en-US" w:eastAsia="zh-CN"/>
        </w:rPr>
        <w:t>柱间支撑应设在侧墙柱列，当建筑宽度大于60m时，在内柱列应设置柱间支撑；</w:t>
      </w:r>
    </w:p>
    <w:p>
      <w:pPr>
        <w:pStyle w:val="36"/>
        <w:bidi w:val="0"/>
        <w:rPr>
          <w:rFonts w:hint="eastAsia"/>
          <w:color w:val="auto"/>
          <w:lang w:val="en-US" w:eastAsia="zh-CN"/>
        </w:rPr>
      </w:pPr>
      <w:r>
        <w:rPr>
          <w:rFonts w:hint="eastAsia"/>
          <w:color w:val="auto"/>
          <w:lang w:val="en-US" w:eastAsia="zh-CN"/>
        </w:rPr>
        <w:t>当建筑高度大于柱间距2倍时，柱间支撑应分层设置；</w:t>
      </w:r>
    </w:p>
    <w:p>
      <w:pPr>
        <w:pStyle w:val="36"/>
        <w:bidi w:val="0"/>
        <w:rPr>
          <w:rFonts w:hint="default"/>
          <w:color w:val="auto"/>
          <w:lang w:val="en-US" w:eastAsia="zh-CN"/>
        </w:rPr>
      </w:pPr>
      <w:r>
        <w:rPr>
          <w:rFonts w:hint="default"/>
          <w:color w:val="auto"/>
          <w:lang w:val="en-US" w:eastAsia="zh-CN"/>
        </w:rPr>
        <w:t>柱间支撑的设置间距宜取30m～45m，端部柱间支撑宜设置在</w:t>
      </w:r>
      <w:r>
        <w:rPr>
          <w:rFonts w:hint="eastAsia"/>
          <w:color w:val="auto"/>
          <w:lang w:val="en-US" w:eastAsia="zh-CN"/>
        </w:rPr>
        <w:t>建筑</w:t>
      </w:r>
      <w:r>
        <w:rPr>
          <w:rFonts w:hint="default"/>
          <w:color w:val="auto"/>
          <w:lang w:val="en-US" w:eastAsia="zh-CN"/>
        </w:rPr>
        <w:t>端部第一或第二开间</w:t>
      </w:r>
      <w:r>
        <w:rPr>
          <w:rFonts w:hint="eastAsia"/>
          <w:color w:val="auto"/>
          <w:lang w:val="en-US" w:eastAsia="zh-CN"/>
        </w:rPr>
        <w:t>；</w:t>
      </w:r>
    </w:p>
    <w:p>
      <w:pPr>
        <w:pStyle w:val="36"/>
        <w:bidi w:val="0"/>
        <w:rPr>
          <w:rFonts w:hint="eastAsia"/>
          <w:color w:val="auto"/>
          <w:lang w:val="en-US" w:eastAsia="zh-CN"/>
        </w:rPr>
      </w:pPr>
      <w:r>
        <w:rPr>
          <w:rFonts w:hint="eastAsia"/>
          <w:color w:val="auto"/>
          <w:lang w:val="en-US" w:eastAsia="zh-CN"/>
        </w:rPr>
        <w:t>屋面端部横向支撑应布置在建筑端部和温度区段第一或第二开间，当布置在第二开间时应在建筑端部第一开间抗风柱顶部对应位置布置刚性系杆；</w:t>
      </w:r>
    </w:p>
    <w:p>
      <w:pPr>
        <w:pStyle w:val="36"/>
        <w:bidi w:val="0"/>
        <w:rPr>
          <w:rFonts w:hint="eastAsia"/>
          <w:color w:val="auto"/>
          <w:lang w:val="en-US" w:eastAsia="zh-CN"/>
        </w:rPr>
      </w:pPr>
      <w:r>
        <w:rPr>
          <w:rFonts w:hint="eastAsia"/>
          <w:color w:val="auto"/>
          <w:lang w:val="en-US" w:eastAsia="zh-CN"/>
        </w:rPr>
        <w:t>当实腹式门式刚架的梁、柱翼缘受压时，应在受压翼缘侧布置隅撑与檩条或墙梁相连接。</w:t>
      </w:r>
    </w:p>
    <w:p>
      <w:pPr>
        <w:pStyle w:val="5"/>
        <w:bidi w:val="0"/>
        <w:ind w:left="0" w:leftChars="0" w:firstLine="0" w:firstLineChars="0"/>
        <w:rPr>
          <w:color w:val="auto"/>
        </w:rPr>
      </w:pPr>
      <w:r>
        <w:rPr>
          <w:rFonts w:hint="eastAsia"/>
          <w:color w:val="auto"/>
          <w:lang w:val="en-US" w:eastAsia="zh-CN"/>
        </w:rPr>
        <w:t>钢构件节点</w:t>
      </w:r>
      <w:r>
        <w:rPr>
          <w:color w:val="auto"/>
        </w:rPr>
        <w:t>连接</w:t>
      </w:r>
      <w:r>
        <w:rPr>
          <w:rFonts w:hint="eastAsia"/>
          <w:color w:val="auto"/>
          <w:lang w:val="en-US" w:eastAsia="zh-CN"/>
        </w:rPr>
        <w:t>应满足下列基本</w:t>
      </w:r>
      <w:r>
        <w:rPr>
          <w:color w:val="auto"/>
        </w:rPr>
        <w:t>要求：</w:t>
      </w:r>
    </w:p>
    <w:p>
      <w:pPr>
        <w:pStyle w:val="36"/>
        <w:bidi w:val="0"/>
        <w:rPr>
          <w:rFonts w:hint="eastAsia"/>
          <w:color w:val="auto"/>
          <w:lang w:eastAsia="zh-CN"/>
        </w:rPr>
      </w:pPr>
      <w:r>
        <w:rPr>
          <w:rFonts w:hint="eastAsia"/>
          <w:color w:val="auto"/>
          <w:lang w:val="en-US" w:eastAsia="zh-CN"/>
        </w:rPr>
        <w:t>节点连接应符合设计和规范要求。</w:t>
      </w:r>
    </w:p>
    <w:p>
      <w:pPr>
        <w:pStyle w:val="36"/>
        <w:bidi w:val="0"/>
        <w:rPr>
          <w:rFonts w:hint="eastAsia"/>
          <w:color w:val="auto"/>
          <w:lang w:eastAsia="zh-CN"/>
        </w:rPr>
      </w:pPr>
      <w:r>
        <w:rPr>
          <w:color w:val="auto"/>
        </w:rPr>
        <w:t>螺栓</w:t>
      </w:r>
      <w:r>
        <w:rPr>
          <w:rFonts w:hint="eastAsia"/>
          <w:color w:val="auto"/>
          <w:lang w:val="en-US" w:eastAsia="zh-CN"/>
        </w:rPr>
        <w:t>连接</w:t>
      </w:r>
      <w:r>
        <w:rPr>
          <w:color w:val="auto"/>
        </w:rPr>
        <w:t>不应</w:t>
      </w:r>
      <w:r>
        <w:rPr>
          <w:rFonts w:hint="eastAsia"/>
          <w:color w:val="auto"/>
          <w:lang w:val="en-US" w:eastAsia="zh-CN"/>
        </w:rPr>
        <w:t>有</w:t>
      </w:r>
      <w:r>
        <w:rPr>
          <w:color w:val="auto"/>
        </w:rPr>
        <w:t>漏栓、错排及掉头</w:t>
      </w:r>
      <w:r>
        <w:rPr>
          <w:rFonts w:hint="eastAsia"/>
          <w:color w:val="auto"/>
          <w:lang w:val="en-US" w:eastAsia="zh-CN"/>
        </w:rPr>
        <w:t>；</w:t>
      </w:r>
      <w:r>
        <w:rPr>
          <w:color w:val="auto"/>
        </w:rPr>
        <w:t>螺栓</w:t>
      </w:r>
      <w:r>
        <w:rPr>
          <w:rFonts w:hint="eastAsia"/>
          <w:color w:val="auto"/>
          <w:lang w:val="en-US" w:eastAsia="zh-CN"/>
        </w:rPr>
        <w:t>不应有</w:t>
      </w:r>
      <w:r>
        <w:rPr>
          <w:color w:val="auto"/>
        </w:rPr>
        <w:t>断裂、松动、脱落、螺杆弯曲现象，丝扣应外露，垫圈齐全</w:t>
      </w:r>
      <w:r>
        <w:rPr>
          <w:rFonts w:hint="eastAsia"/>
          <w:color w:val="auto"/>
          <w:lang w:eastAsia="zh-CN"/>
        </w:rPr>
        <w:t>。</w:t>
      </w:r>
    </w:p>
    <w:p>
      <w:pPr>
        <w:pStyle w:val="36"/>
        <w:bidi w:val="0"/>
        <w:rPr>
          <w:rFonts w:hint="eastAsia"/>
          <w:color w:val="auto"/>
          <w:lang w:val="en-US" w:eastAsia="zh-CN"/>
        </w:rPr>
      </w:pPr>
      <w:r>
        <w:rPr>
          <w:rFonts w:hint="eastAsia"/>
          <w:color w:val="auto"/>
          <w:lang w:val="en-US" w:eastAsia="zh-CN"/>
        </w:rPr>
        <w:t>焊接连接的焊缝无开裂、</w:t>
      </w:r>
      <w:r>
        <w:rPr>
          <w:color w:val="auto"/>
        </w:rPr>
        <w:t>未焊满、漏焊</w:t>
      </w:r>
      <w:r>
        <w:rPr>
          <w:rFonts w:hint="eastAsia"/>
          <w:color w:val="auto"/>
          <w:lang w:val="en-US" w:eastAsia="zh-CN"/>
        </w:rPr>
        <w:t>等缺陷。</w:t>
      </w:r>
    </w:p>
    <w:p>
      <w:pPr>
        <w:pStyle w:val="36"/>
        <w:bidi w:val="0"/>
        <w:rPr>
          <w:rFonts w:hint="eastAsia"/>
          <w:color w:val="auto"/>
          <w:lang w:val="en-US" w:eastAsia="zh-CN"/>
        </w:rPr>
      </w:pPr>
      <w:r>
        <w:rPr>
          <w:rFonts w:hint="default"/>
          <w:color w:val="auto"/>
          <w:lang w:val="en-US" w:eastAsia="zh-CN"/>
        </w:rPr>
        <w:t>同一连接部位中不得采用普通螺栓或承压型高强度螺栓与焊接共用的连接</w:t>
      </w:r>
      <w:r>
        <w:rPr>
          <w:rFonts w:hint="eastAsia"/>
          <w:color w:val="auto"/>
          <w:lang w:val="en-US" w:eastAsia="zh-CN"/>
        </w:rPr>
        <w:t>。</w:t>
      </w:r>
    </w:p>
    <w:p>
      <w:pPr>
        <w:pStyle w:val="5"/>
        <w:bidi w:val="0"/>
        <w:ind w:left="0" w:leftChars="0" w:firstLine="0" w:firstLineChars="0"/>
        <w:rPr>
          <w:rFonts w:hint="eastAsia"/>
          <w:color w:val="auto"/>
          <w:lang w:eastAsia="zh-CN"/>
        </w:rPr>
      </w:pPr>
      <w:r>
        <w:rPr>
          <w:rFonts w:hint="eastAsia"/>
          <w:color w:val="auto"/>
          <w:lang w:eastAsia="zh-CN"/>
        </w:rPr>
        <w:t>梁柱刚性连接时，梁翼缘与柱的连接、框架柱的拼接、外露式柱脚的柱身与底板的连接、重要受拉构件的拼接</w:t>
      </w:r>
      <w:r>
        <w:rPr>
          <w:rFonts w:hint="eastAsia"/>
          <w:color w:val="auto"/>
          <w:lang w:val="en-US" w:eastAsia="zh-CN"/>
        </w:rPr>
        <w:t>等</w:t>
      </w:r>
      <w:r>
        <w:rPr>
          <w:rFonts w:hint="eastAsia"/>
          <w:color w:val="auto"/>
          <w:lang w:eastAsia="zh-CN"/>
        </w:rPr>
        <w:t>，均应采用全熔透焊缝。</w:t>
      </w:r>
    </w:p>
    <w:p>
      <w:pPr>
        <w:pStyle w:val="5"/>
        <w:bidi w:val="0"/>
        <w:ind w:left="0" w:leftChars="0" w:firstLine="0" w:firstLineChars="0"/>
        <w:rPr>
          <w:rFonts w:hint="eastAsia"/>
          <w:color w:val="auto"/>
          <w:lang w:val="en-US" w:eastAsia="zh-CN"/>
        </w:rPr>
      </w:pPr>
      <w:bookmarkStart w:id="81" w:name="_Ref7524"/>
      <w:r>
        <w:rPr>
          <w:rFonts w:hint="eastAsia"/>
          <w:color w:val="auto"/>
          <w:lang w:eastAsia="zh-CN"/>
        </w:rPr>
        <w:t>框架梁柱刚性连接时，应在梁翼缘的对应位置设置水平加劲肋(隔板)，当柱两侧的梁高不等时，每个梁翼缘对应位置均应设置柱的水平加劲肋。</w:t>
      </w:r>
      <w:bookmarkEnd w:id="81"/>
    </w:p>
    <w:p>
      <w:pPr>
        <w:pStyle w:val="5"/>
        <w:bidi w:val="0"/>
        <w:ind w:left="0" w:leftChars="0" w:firstLine="0" w:firstLineChars="0"/>
        <w:rPr>
          <w:rFonts w:hint="eastAsia"/>
          <w:color w:val="auto"/>
          <w:lang w:eastAsia="zh-CN"/>
        </w:rPr>
      </w:pPr>
      <w:bookmarkStart w:id="82" w:name="_Ref12290"/>
      <w:r>
        <w:rPr>
          <w:rFonts w:hint="eastAsia"/>
          <w:color w:val="auto"/>
          <w:lang w:val="en-US" w:eastAsia="zh-CN"/>
        </w:rPr>
        <w:t>钢构件长细比应符合表</w:t>
      </w:r>
      <w:r>
        <w:rPr>
          <w:rFonts w:hint="eastAsia"/>
          <w:color w:val="auto"/>
          <w:lang w:val="en-US" w:eastAsia="zh-CN"/>
        </w:rPr>
        <w:fldChar w:fldCharType="begin"/>
      </w:r>
      <w:r>
        <w:rPr>
          <w:rFonts w:hint="eastAsia"/>
          <w:color w:val="auto"/>
          <w:lang w:val="en-US" w:eastAsia="zh-CN"/>
        </w:rPr>
        <w:instrText xml:space="preserve"> REF _Ref12290 \n \h </w:instrText>
      </w:r>
      <w:r>
        <w:rPr>
          <w:rFonts w:hint="eastAsia"/>
          <w:color w:val="auto"/>
          <w:lang w:val="en-US" w:eastAsia="zh-CN"/>
        </w:rPr>
        <w:fldChar w:fldCharType="separate"/>
      </w:r>
      <w:r>
        <w:rPr>
          <w:rFonts w:hint="eastAsia"/>
          <w:color w:val="auto"/>
          <w:lang w:val="en-US" w:eastAsia="zh-CN"/>
        </w:rPr>
        <w:t>7.4.10</w:t>
      </w:r>
      <w:r>
        <w:rPr>
          <w:rFonts w:hint="eastAsia"/>
          <w:color w:val="auto"/>
          <w:lang w:val="en-US" w:eastAsia="zh-CN"/>
        </w:rPr>
        <w:fldChar w:fldCharType="end"/>
      </w:r>
      <w:r>
        <w:rPr>
          <w:rFonts w:hint="eastAsia"/>
          <w:color w:val="auto"/>
          <w:lang w:val="en-US" w:eastAsia="zh-CN"/>
        </w:rPr>
        <w:t>规定</w:t>
      </w:r>
      <w:bookmarkEnd w:id="82"/>
      <w:r>
        <w:rPr>
          <w:rFonts w:hint="eastAsia"/>
          <w:color w:val="auto"/>
          <w:lang w:val="en-US" w:eastAsia="zh-CN"/>
        </w:rPr>
        <w:t>。</w:t>
      </w:r>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_Ref12290 \n \h </w:instrText>
      </w:r>
      <w:r>
        <w:rPr>
          <w:rFonts w:hint="eastAsia"/>
          <w:color w:val="auto"/>
          <w:lang w:val="en-US" w:eastAsia="zh-CN"/>
        </w:rPr>
        <w:fldChar w:fldCharType="separate"/>
      </w:r>
      <w:r>
        <w:rPr>
          <w:rFonts w:hint="eastAsia"/>
          <w:color w:val="auto"/>
          <w:lang w:val="en-US" w:eastAsia="zh-CN"/>
        </w:rPr>
        <w:t>7.4.10</w:t>
      </w:r>
      <w:r>
        <w:rPr>
          <w:rFonts w:hint="eastAsia"/>
          <w:color w:val="auto"/>
          <w:lang w:val="en-US" w:eastAsia="zh-CN"/>
        </w:rPr>
        <w:fldChar w:fldCharType="end"/>
      </w:r>
      <w:r>
        <w:rPr>
          <w:rFonts w:hint="eastAsia"/>
          <w:color w:val="auto"/>
          <w:lang w:val="en-US" w:eastAsia="zh-CN"/>
        </w:rPr>
        <w:t xml:space="preserve"> 受压构件的长细比限值</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4"/>
        <w:gridCol w:w="38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4" w:type="dxa"/>
          </w:tcPr>
          <w:p>
            <w:pPr>
              <w:pStyle w:val="24"/>
              <w:bidi w:val="0"/>
              <w:rPr>
                <w:rFonts w:hint="default"/>
                <w:color w:val="auto"/>
                <w:lang w:val="en-US" w:eastAsia="zh-CN"/>
              </w:rPr>
            </w:pPr>
            <w:r>
              <w:rPr>
                <w:rFonts w:hint="eastAsia"/>
                <w:color w:val="auto"/>
                <w:lang w:val="en-US" w:eastAsia="zh-CN"/>
              </w:rPr>
              <w:t>构件名称</w:t>
            </w:r>
          </w:p>
        </w:tc>
        <w:tc>
          <w:tcPr>
            <w:tcW w:w="3838" w:type="dxa"/>
          </w:tcPr>
          <w:p>
            <w:pPr>
              <w:pStyle w:val="24"/>
              <w:bidi w:val="0"/>
              <w:rPr>
                <w:rFonts w:hint="default"/>
                <w:color w:val="auto"/>
                <w:lang w:val="en-US" w:eastAsia="zh-CN"/>
              </w:rPr>
            </w:pPr>
            <w:r>
              <w:rPr>
                <w:rFonts w:hint="eastAsia"/>
                <w:color w:val="auto"/>
                <w:lang w:val="en-US" w:eastAsia="zh-CN"/>
              </w:rPr>
              <w:t>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4" w:type="dxa"/>
            <w:vAlign w:val="center"/>
          </w:tcPr>
          <w:p>
            <w:pPr>
              <w:pStyle w:val="24"/>
              <w:bidi w:val="0"/>
              <w:jc w:val="center"/>
              <w:rPr>
                <w:rFonts w:hint="default"/>
                <w:color w:val="auto"/>
                <w:lang w:val="en-US" w:eastAsia="zh-CN"/>
              </w:rPr>
            </w:pPr>
            <w:r>
              <w:rPr>
                <w:rFonts w:hint="eastAsia"/>
                <w:color w:val="auto"/>
                <w:lang w:val="en-US" w:eastAsia="zh-CN"/>
              </w:rPr>
              <w:t>框架柱</w:t>
            </w:r>
          </w:p>
        </w:tc>
        <w:tc>
          <w:tcPr>
            <w:tcW w:w="3838" w:type="dxa"/>
            <w:vAlign w:val="center"/>
          </w:tcPr>
          <w:p>
            <w:pPr>
              <w:pStyle w:val="24"/>
              <w:bidi w:val="0"/>
              <w:jc w:val="center"/>
              <w:rPr>
                <w:rFonts w:hint="default"/>
                <w:color w:val="auto"/>
                <w:lang w:val="en-US" w:eastAsia="zh-CN"/>
              </w:rPr>
            </w:pPr>
            <m:oMathPara>
              <m:oMath>
                <m:r>
                  <m:rPr>
                    <m:sty m:val="p"/>
                  </m:rPr>
                  <w:rPr>
                    <w:rFonts w:hint="default" w:ascii="Cambria Math" w:hAnsi="Cambria Math"/>
                    <w:color w:val="auto"/>
                    <w:lang w:val="en-US" w:eastAsia="zh-CN"/>
                  </w:rPr>
                  <m:t>1</m:t>
                </m:r>
                <m:r>
                  <m:rPr>
                    <m:sty m:val="p"/>
                  </m:rPr>
                  <w:rPr>
                    <w:rFonts w:hint="eastAsia" w:ascii="Cambria Math" w:hAnsi="Cambria Math"/>
                    <w:color w:val="auto"/>
                    <w:lang w:val="en-US" w:eastAsia="zh-CN"/>
                  </w:rPr>
                  <m:t>2</m:t>
                </m:r>
                <m:r>
                  <m:rPr>
                    <m:sty m:val="p"/>
                  </m:rPr>
                  <w:rPr>
                    <w:rFonts w:hint="default" w:ascii="Cambria Math" w:hAnsi="Cambria Math"/>
                    <w:color w:val="auto"/>
                    <w:lang w:val="en-US" w:eastAsia="zh-CN"/>
                  </w:rPr>
                  <m:t>0</m:t>
                </m:r>
                <m:rad>
                  <m:radPr>
                    <m:degHide m:val="1"/>
                    <m:ctrlPr>
                      <w:rPr>
                        <w:rFonts w:hint="default" w:ascii="Cambria Math" w:hAnsi="Cambria Math"/>
                        <w:color w:val="auto"/>
                        <w:lang w:val="en-US" w:eastAsia="zh-CN"/>
                      </w:rPr>
                    </m:ctrlPr>
                  </m:radPr>
                  <m:deg>
                    <m:ctrlPr>
                      <w:rPr>
                        <w:rFonts w:hint="default" w:ascii="Cambria Math" w:hAnsi="Cambria Math"/>
                        <w:color w:val="auto"/>
                        <w:lang w:val="en-US" w:eastAsia="zh-CN"/>
                      </w:rPr>
                    </m:ctrlPr>
                  </m:deg>
                  <m:e>
                    <m:r>
                      <m:rPr>
                        <m:sty m:val="p"/>
                      </m:rPr>
                      <w:rPr>
                        <w:rFonts w:hint="eastAsia" w:ascii="Cambria Math" w:hAnsi="Cambria Math"/>
                        <w:color w:val="auto"/>
                        <w:lang w:val="en-US" w:eastAsia="zh-CN"/>
                      </w:rPr>
                      <m:t>235/</m:t>
                    </m:r>
                    <m:sSub>
                      <m:sSubPr>
                        <m:ctrlPr>
                          <w:rPr>
                            <w:rFonts w:hint="eastAsia" w:ascii="Cambria Math" w:hAnsi="Cambria Math"/>
                            <w:color w:val="auto"/>
                            <w:lang w:val="en-US" w:eastAsia="zh-CN"/>
                          </w:rPr>
                        </m:ctrlPr>
                      </m:sSubPr>
                      <m:e>
                        <m:r>
                          <m:rPr>
                            <m:sty m:val="p"/>
                          </m:rPr>
                          <w:rPr>
                            <w:rFonts w:hint="default" w:ascii="Cambria Math" w:hAnsi="Cambria Math"/>
                            <w:color w:val="auto"/>
                            <w:lang w:val="en-US" w:eastAsia="zh-CN"/>
                          </w:rPr>
                          <m:t>f</m:t>
                        </m:r>
                        <m:ctrlPr>
                          <w:rPr>
                            <w:rFonts w:hint="eastAsia" w:ascii="Cambria Math" w:hAnsi="Cambria Math"/>
                            <w:color w:val="auto"/>
                            <w:lang w:val="en-US" w:eastAsia="zh-CN"/>
                          </w:rPr>
                        </m:ctrlPr>
                      </m:e>
                      <m:sub>
                        <m:r>
                          <m:rPr>
                            <m:sty m:val="p"/>
                          </m:rPr>
                          <w:rPr>
                            <w:rFonts w:hint="default" w:ascii="Cambria Math" w:hAnsi="Cambria Math"/>
                            <w:color w:val="auto"/>
                            <w:lang w:val="en-US" w:eastAsia="zh-CN"/>
                          </w:rPr>
                          <m:t>y</m:t>
                        </m:r>
                        <m:ctrlPr>
                          <w:rPr>
                            <w:rFonts w:hint="eastAsia" w:ascii="Cambria Math" w:hAnsi="Cambria Math"/>
                            <w:color w:val="auto"/>
                            <w:lang w:val="en-US" w:eastAsia="zh-CN"/>
                          </w:rPr>
                        </m:ctrlPr>
                      </m:sub>
                    </m:sSub>
                    <m:ctrlPr>
                      <w:rPr>
                        <w:rFonts w:hint="default" w:ascii="Cambria Math" w:hAnsi="Cambria Math"/>
                        <w:color w:val="auto"/>
                        <w:lang w:val="en-US" w:eastAsia="zh-CN"/>
                      </w:rPr>
                    </m:ctrlPr>
                  </m:e>
                </m:rad>
              </m:oMath>
            </m:oMathPara>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4" w:type="dxa"/>
          </w:tcPr>
          <w:p>
            <w:pPr>
              <w:pStyle w:val="24"/>
              <w:bidi w:val="0"/>
              <w:rPr>
                <w:rFonts w:hint="eastAsia"/>
                <w:color w:val="auto"/>
              </w:rPr>
            </w:pPr>
            <w:r>
              <w:rPr>
                <w:rFonts w:hint="eastAsia"/>
                <w:color w:val="auto"/>
              </w:rPr>
              <w:t>轴心受压柱、</w:t>
            </w:r>
            <w:r>
              <w:rPr>
                <w:rFonts w:hint="eastAsia"/>
                <w:color w:val="auto"/>
                <w:lang w:val="en-US" w:eastAsia="zh-CN"/>
              </w:rPr>
              <w:t>桁架</w:t>
            </w:r>
            <w:r>
              <w:rPr>
                <w:rFonts w:hint="eastAsia"/>
                <w:color w:val="auto"/>
              </w:rPr>
              <w:t>和天窗架中的压杆</w:t>
            </w:r>
          </w:p>
        </w:tc>
        <w:tc>
          <w:tcPr>
            <w:tcW w:w="3838" w:type="dxa"/>
          </w:tcPr>
          <w:p>
            <w:pPr>
              <w:pStyle w:val="24"/>
              <w:bidi w:val="0"/>
              <w:rPr>
                <w:rFonts w:hint="eastAsia"/>
                <w:color w:val="auto"/>
                <w:lang w:val="en-US" w:eastAsia="zh-CN"/>
              </w:rPr>
            </w:pPr>
            <w:r>
              <w:rPr>
                <w:rFonts w:hint="eastAsia"/>
                <w:color w:val="auto"/>
                <w:lang w:val="en-US" w:eastAsia="zh-CN"/>
              </w:rPr>
              <w:t>150（200）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84" w:type="dxa"/>
          </w:tcPr>
          <w:p>
            <w:pPr>
              <w:pStyle w:val="24"/>
              <w:bidi w:val="0"/>
              <w:rPr>
                <w:rFonts w:hint="default"/>
                <w:color w:val="auto"/>
                <w:lang w:val="en-US" w:eastAsia="zh-CN"/>
              </w:rPr>
            </w:pPr>
            <w:r>
              <w:rPr>
                <w:rFonts w:hint="eastAsia"/>
                <w:color w:val="auto"/>
              </w:rPr>
              <w:t>支撑</w:t>
            </w:r>
          </w:p>
        </w:tc>
        <w:tc>
          <w:tcPr>
            <w:tcW w:w="3838" w:type="dxa"/>
          </w:tcPr>
          <w:p>
            <w:pPr>
              <w:pStyle w:val="24"/>
              <w:bidi w:val="0"/>
              <w:rPr>
                <w:rFonts w:hint="default"/>
                <w:color w:val="auto"/>
                <w:lang w:val="en-US" w:eastAsia="zh-CN"/>
              </w:rPr>
            </w:pPr>
            <w:r>
              <w:rPr>
                <w:rFonts w:hint="eastAsia"/>
                <w:color w:val="auto"/>
                <w:lang w:val="en-US" w:eastAsia="zh-CN"/>
              </w:rPr>
              <w:t>200</w:t>
            </w:r>
          </w:p>
        </w:tc>
      </w:tr>
    </w:tbl>
    <w:p>
      <w:pPr>
        <w:pStyle w:val="28"/>
        <w:bidi w:val="0"/>
        <w:rPr>
          <w:rFonts w:hint="eastAsia"/>
          <w:color w:val="auto"/>
          <w:lang w:val="en-US" w:eastAsia="zh-CN"/>
        </w:rPr>
      </w:pPr>
      <w:bookmarkStart w:id="83" w:name="_Ref2707"/>
      <w:r>
        <w:rPr>
          <w:rFonts w:hint="eastAsia"/>
          <w:color w:val="auto"/>
          <w:lang w:val="en-US" w:eastAsia="zh-CN"/>
        </w:rPr>
        <w:t>注：</w:t>
      </w:r>
      <w:r>
        <w:rPr>
          <w:rFonts w:hint="default"/>
          <w:color w:val="auto"/>
          <w:lang w:val="en-US" w:eastAsia="zh-CN"/>
        </w:rPr>
        <w:t>内力设计值不大于承载能力的50%</w:t>
      </w:r>
      <w:r>
        <w:rPr>
          <w:rFonts w:hint="eastAsia"/>
          <w:color w:val="auto"/>
          <w:lang w:val="en-US" w:eastAsia="zh-CN"/>
        </w:rPr>
        <w:t>可取括弧中数值。</w:t>
      </w:r>
    </w:p>
    <w:bookmarkEnd w:id="83"/>
    <w:p>
      <w:pPr>
        <w:pStyle w:val="5"/>
        <w:bidi w:val="0"/>
        <w:ind w:left="0" w:leftChars="0" w:firstLine="0" w:firstLineChars="0"/>
        <w:rPr>
          <w:rFonts w:hint="default"/>
          <w:color w:val="auto"/>
          <w:lang w:val="en-US" w:eastAsia="zh-CN"/>
        </w:rPr>
      </w:pPr>
      <w:r>
        <w:rPr>
          <w:rFonts w:hint="eastAsia"/>
          <w:color w:val="auto"/>
          <w:lang w:val="en-US" w:eastAsia="zh-CN"/>
        </w:rPr>
        <w:t>多层钢结构顶点位移不超过结构顶点高度的1/200，单层钢结构顶点位移不超过结构顶点高度的1/150</w:t>
      </w:r>
      <w:r>
        <w:rPr>
          <w:rFonts w:hint="eastAsia"/>
          <w:color w:val="auto"/>
          <w:lang w:eastAsia="zh-CN"/>
        </w:rPr>
        <w:t>。</w:t>
      </w:r>
    </w:p>
    <w:p>
      <w:pPr>
        <w:pStyle w:val="29"/>
        <w:bidi w:val="0"/>
        <w:rPr>
          <w:rFonts w:hint="default"/>
          <w:color w:val="auto"/>
          <w:lang w:val="en-US" w:eastAsia="zh-CN"/>
        </w:rPr>
      </w:pPr>
      <w:r>
        <w:rPr>
          <w:rFonts w:hint="eastAsia"/>
          <w:color w:val="auto"/>
          <w:lang w:val="en-US" w:eastAsia="zh-CN"/>
        </w:rPr>
        <w:t>结构构件系统鉴定</w:t>
      </w:r>
    </w:p>
    <w:p>
      <w:pPr>
        <w:pStyle w:val="5"/>
        <w:bidi w:val="0"/>
        <w:ind w:left="0" w:leftChars="0" w:firstLine="0" w:firstLineChars="0"/>
        <w:rPr>
          <w:rFonts w:hint="eastAsia"/>
          <w:color w:val="auto"/>
          <w:lang w:val="en-US" w:eastAsia="zh-CN"/>
        </w:rPr>
      </w:pPr>
      <w:r>
        <w:rPr>
          <w:color w:val="auto"/>
        </w:rPr>
        <w:t>钢</w:t>
      </w:r>
      <w:r>
        <w:rPr>
          <w:rFonts w:hint="eastAsia"/>
          <w:color w:val="auto"/>
          <w:lang w:val="en-US" w:eastAsia="zh-CN"/>
        </w:rPr>
        <w:t>结构构件安全性鉴定包含构件和节点连接两部分内容，应根据位移变形、损伤两个检查项目，必要时结合验算项目，按照本导则第6.6节和本节相关规定进行综合评级。</w:t>
      </w:r>
    </w:p>
    <w:p>
      <w:pPr>
        <w:pStyle w:val="26"/>
        <w:bidi w:val="0"/>
        <w:rPr>
          <w:rFonts w:hint="default" w:ascii="Times New Roman" w:hAnsi="Times New Roman"/>
          <w:color w:val="auto"/>
          <w:lang w:val="en-US" w:eastAsia="zh-CN"/>
        </w:rPr>
      </w:pPr>
      <w:r>
        <w:rPr>
          <w:rFonts w:hint="eastAsia" w:ascii="Times New Roman" w:hAnsi="Times New Roman"/>
          <w:color w:val="auto"/>
          <w:lang w:val="en-US" w:eastAsia="zh-CN"/>
        </w:rPr>
        <w:t>【条文说明】</w:t>
      </w:r>
      <w:r>
        <w:rPr>
          <w:rFonts w:hint="default" w:ascii="Times New Roman" w:hAnsi="Times New Roman"/>
          <w:color w:val="auto"/>
          <w:lang w:val="en-US" w:eastAsia="zh-CN"/>
        </w:rPr>
        <w:t>钢结构构件安全性鉴定应检查的项目，是在《建筑结构可靠性设计统一标准》GB 50068定义的</w:t>
      </w:r>
      <w:r>
        <w:rPr>
          <w:rFonts w:hint="eastAsia" w:ascii="Times New Roman" w:hAnsi="Times New Roman"/>
          <w:color w:val="auto"/>
          <w:lang w:val="en-US" w:eastAsia="zh-CN"/>
        </w:rPr>
        <w:t>承载力</w:t>
      </w:r>
      <w:r>
        <w:rPr>
          <w:rFonts w:hint="default" w:ascii="Times New Roman" w:hAnsi="Times New Roman"/>
          <w:color w:val="auto"/>
          <w:lang w:val="en-US" w:eastAsia="zh-CN"/>
        </w:rPr>
        <w:t>极限状态基础上，参照国内外有关标准和工程鉴定经验确定的。其中需作说明的是：</w:t>
      </w:r>
    </w:p>
    <w:p>
      <w:pPr>
        <w:pStyle w:val="26"/>
        <w:bidi w:val="0"/>
        <w:rPr>
          <w:rFonts w:hint="default" w:ascii="Times New Roman" w:hAnsi="Times New Roman"/>
          <w:color w:val="auto"/>
          <w:lang w:val="en-US" w:eastAsia="zh-CN"/>
        </w:rPr>
      </w:pPr>
      <w:r>
        <w:rPr>
          <w:rFonts w:hint="default" w:ascii="Times New Roman" w:hAnsi="Times New Roman"/>
          <w:color w:val="auto"/>
          <w:lang w:val="en-US" w:eastAsia="zh-CN"/>
        </w:rPr>
        <w:t>1  钢结构不同于混凝土结构，钢结构的节点、连接由于其重要性，在构造方法和设计方法上均有严格的规定，因此，应单独列为一个检测项目进行安全性评定。为此本条中规定，将钢结构节点、连接按构造及</w:t>
      </w:r>
      <w:r>
        <w:rPr>
          <w:rFonts w:hint="eastAsia" w:ascii="Times New Roman" w:hAnsi="Times New Roman"/>
          <w:color w:val="auto"/>
          <w:lang w:val="en-US" w:eastAsia="zh-CN"/>
        </w:rPr>
        <w:t>承载力</w:t>
      </w:r>
      <w:r>
        <w:rPr>
          <w:rFonts w:hint="default" w:ascii="Times New Roman" w:hAnsi="Times New Roman"/>
          <w:color w:val="auto"/>
          <w:lang w:val="en-US" w:eastAsia="zh-CN"/>
        </w:rPr>
        <w:t>两个项目分别进行安全性评定。</w:t>
      </w:r>
    </w:p>
    <w:p>
      <w:pPr>
        <w:pStyle w:val="26"/>
        <w:bidi w:val="0"/>
        <w:rPr>
          <w:rFonts w:hint="default" w:ascii="Times New Roman" w:hAnsi="Times New Roman"/>
          <w:color w:val="auto"/>
          <w:lang w:val="en-US" w:eastAsia="zh-CN"/>
        </w:rPr>
      </w:pPr>
      <w:r>
        <w:rPr>
          <w:rFonts w:hint="default" w:ascii="Times New Roman" w:hAnsi="Times New Roman"/>
          <w:color w:val="auto"/>
          <w:lang w:val="en-US" w:eastAsia="zh-CN"/>
        </w:rPr>
        <w:t>2  钢结构处于不利的环境中，其锈蚀将大大加快，以致在很短时间内便会危及结构构件承载的安全。另外，就冷弯薄壁型钢结构和轻钢结构而言，则由于其构件自身截面尺寸小，对锈蚀十分敏感而快速。因此，有必要将影响承载的</w:t>
      </w:r>
      <w:r>
        <w:rPr>
          <w:rFonts w:hint="eastAsia"/>
          <w:color w:val="auto"/>
          <w:lang w:val="en-US" w:eastAsia="zh-CN"/>
        </w:rPr>
        <w:t>损伤</w:t>
      </w:r>
      <w:r>
        <w:rPr>
          <w:rFonts w:hint="default" w:ascii="Times New Roman" w:hAnsi="Times New Roman"/>
          <w:color w:val="auto"/>
          <w:lang w:val="en-US" w:eastAsia="zh-CN"/>
        </w:rPr>
        <w:t>，作为其安全性鉴定的一个检查项目。</w:t>
      </w:r>
    </w:p>
    <w:p>
      <w:pPr>
        <w:pStyle w:val="5"/>
        <w:bidi w:val="0"/>
        <w:ind w:left="0" w:leftChars="0" w:firstLine="0" w:firstLineChars="0"/>
        <w:rPr>
          <w:rFonts w:hint="eastAsia"/>
          <w:color w:val="auto"/>
          <w:lang w:val="en-US" w:eastAsia="zh-CN"/>
        </w:rPr>
      </w:pPr>
      <w:bookmarkStart w:id="84" w:name="_Ref16183"/>
      <w:r>
        <w:rPr>
          <w:rFonts w:hint="eastAsia"/>
          <w:color w:val="auto"/>
          <w:lang w:val="en-US" w:eastAsia="zh-CN"/>
        </w:rPr>
        <w:t>钢结构构件的安全性按位移变形项目评级，</w:t>
      </w:r>
      <w:bookmarkEnd w:id="84"/>
      <w:r>
        <w:rPr>
          <w:rFonts w:hint="eastAsia"/>
          <w:color w:val="auto"/>
          <w:lang w:val="en-US" w:eastAsia="zh-CN"/>
        </w:rPr>
        <w:t>应符合下列规定：</w:t>
      </w:r>
    </w:p>
    <w:p>
      <w:pPr>
        <w:pStyle w:val="36"/>
        <w:bidi w:val="0"/>
        <w:rPr>
          <w:rFonts w:hint="eastAsia"/>
          <w:color w:val="auto"/>
          <w:lang w:val="en-US" w:eastAsia="zh-CN"/>
        </w:rPr>
      </w:pPr>
      <w:r>
        <w:rPr>
          <w:rFonts w:hint="eastAsia"/>
          <w:color w:val="auto"/>
          <w:lang w:val="en-US" w:eastAsia="zh-CN"/>
        </w:rPr>
        <w:t>除特别规定外，一般应按表</w:t>
      </w:r>
      <w:r>
        <w:rPr>
          <w:rFonts w:hint="default"/>
          <w:color w:val="auto"/>
          <w:lang w:val="en-US" w:eastAsia="zh-CN"/>
        </w:rPr>
        <w:fldChar w:fldCharType="begin"/>
      </w:r>
      <w:r>
        <w:rPr>
          <w:rFonts w:hint="default"/>
          <w:color w:val="auto"/>
          <w:lang w:val="en-US" w:eastAsia="zh-CN"/>
        </w:rPr>
        <w:instrText xml:space="preserve"> REF _Ref16183 \n \h </w:instrText>
      </w:r>
      <w:r>
        <w:rPr>
          <w:rFonts w:hint="default"/>
          <w:color w:val="auto"/>
          <w:lang w:val="en-US" w:eastAsia="zh-CN"/>
        </w:rPr>
        <w:fldChar w:fldCharType="separate"/>
      </w:r>
      <w:r>
        <w:rPr>
          <w:rFonts w:hint="default"/>
          <w:color w:val="auto"/>
          <w:lang w:val="en-US" w:eastAsia="zh-CN"/>
        </w:rPr>
        <w:t>7.4.13</w:t>
      </w:r>
      <w:r>
        <w:rPr>
          <w:rFonts w:hint="default"/>
          <w:color w:val="auto"/>
          <w:lang w:val="en-US" w:eastAsia="zh-CN"/>
        </w:rPr>
        <w:fldChar w:fldCharType="end"/>
      </w:r>
      <w:r>
        <w:rPr>
          <w:rFonts w:hint="eastAsia"/>
          <w:color w:val="auto"/>
          <w:lang w:val="en-US" w:eastAsia="zh-CN"/>
        </w:rPr>
        <w:t>-1、</w:t>
      </w:r>
      <w:r>
        <w:rPr>
          <w:rFonts w:hint="default"/>
          <w:color w:val="auto"/>
          <w:lang w:val="en-US" w:eastAsia="zh-CN"/>
        </w:rPr>
        <w:fldChar w:fldCharType="begin"/>
      </w:r>
      <w:r>
        <w:rPr>
          <w:rFonts w:hint="default"/>
          <w:color w:val="auto"/>
          <w:lang w:val="en-US" w:eastAsia="zh-CN"/>
        </w:rPr>
        <w:instrText xml:space="preserve"> REF _Ref16183 \n \h </w:instrText>
      </w:r>
      <w:r>
        <w:rPr>
          <w:rFonts w:hint="default"/>
          <w:color w:val="auto"/>
          <w:lang w:val="en-US" w:eastAsia="zh-CN"/>
        </w:rPr>
        <w:fldChar w:fldCharType="separate"/>
      </w:r>
      <w:r>
        <w:rPr>
          <w:rFonts w:hint="default"/>
          <w:color w:val="auto"/>
          <w:lang w:val="en-US" w:eastAsia="zh-CN"/>
        </w:rPr>
        <w:t>7.4.13</w:t>
      </w:r>
      <w:r>
        <w:rPr>
          <w:rFonts w:hint="default"/>
          <w:color w:val="auto"/>
          <w:lang w:val="en-US" w:eastAsia="zh-CN"/>
        </w:rPr>
        <w:fldChar w:fldCharType="end"/>
      </w:r>
      <w:r>
        <w:rPr>
          <w:rFonts w:hint="eastAsia"/>
          <w:color w:val="auto"/>
          <w:lang w:val="en-US" w:eastAsia="zh-CN"/>
        </w:rPr>
        <w:t>-2规定评级；</w:t>
      </w:r>
    </w:p>
    <w:p>
      <w:pPr>
        <w:pStyle w:val="25"/>
        <w:bidi w:val="0"/>
        <w:rPr>
          <w:rFonts w:hint="eastAsia"/>
          <w:color w:val="auto"/>
          <w:lang w:eastAsia="zh-CN"/>
        </w:rPr>
      </w:pPr>
      <w:r>
        <w:rPr>
          <w:rFonts w:hint="default"/>
          <w:color w:val="auto"/>
        </w:rPr>
        <w:t>表</w:t>
      </w:r>
      <w:r>
        <w:rPr>
          <w:rFonts w:hint="default"/>
          <w:color w:val="auto"/>
          <w:lang w:val="en-US" w:eastAsia="zh-CN"/>
        </w:rPr>
        <w:fldChar w:fldCharType="begin"/>
      </w:r>
      <w:r>
        <w:rPr>
          <w:rFonts w:hint="default"/>
          <w:color w:val="auto"/>
          <w:lang w:val="en-US" w:eastAsia="zh-CN"/>
        </w:rPr>
        <w:instrText xml:space="preserve"> REF _Ref16183 \n \h </w:instrText>
      </w:r>
      <w:r>
        <w:rPr>
          <w:rFonts w:hint="default"/>
          <w:color w:val="auto"/>
          <w:lang w:val="en-US" w:eastAsia="zh-CN"/>
        </w:rPr>
        <w:fldChar w:fldCharType="separate"/>
      </w:r>
      <w:r>
        <w:rPr>
          <w:rFonts w:hint="default"/>
          <w:color w:val="auto"/>
          <w:lang w:val="en-US" w:eastAsia="zh-CN"/>
        </w:rPr>
        <w:t>7.4.13</w:t>
      </w:r>
      <w:r>
        <w:rPr>
          <w:rFonts w:hint="default"/>
          <w:color w:val="auto"/>
          <w:lang w:val="en-US" w:eastAsia="zh-CN"/>
        </w:rPr>
        <w:fldChar w:fldCharType="end"/>
      </w:r>
      <w:r>
        <w:rPr>
          <w:rFonts w:hint="eastAsia"/>
          <w:color w:val="auto"/>
          <w:lang w:val="en-US" w:eastAsia="zh-CN"/>
        </w:rPr>
        <w:t>-1</w:t>
      </w:r>
      <w:r>
        <w:rPr>
          <w:rFonts w:hint="default"/>
          <w:color w:val="auto"/>
        </w:rPr>
        <w:t xml:space="preserve"> </w:t>
      </w:r>
      <w:r>
        <w:rPr>
          <w:rFonts w:hint="eastAsia"/>
          <w:color w:val="auto"/>
          <w:lang w:val="en-US" w:eastAsia="zh-CN"/>
        </w:rPr>
        <w:t>钢结构构件安全性按挠度或侧向</w:t>
      </w:r>
      <w:r>
        <w:rPr>
          <w:rFonts w:hint="default"/>
          <w:color w:val="auto"/>
        </w:rPr>
        <w:t>弯曲矢高</w:t>
      </w:r>
      <w:r>
        <w:rPr>
          <w:rFonts w:hint="eastAsia"/>
          <w:color w:val="auto"/>
          <w:lang w:val="en-US" w:eastAsia="zh-CN"/>
        </w:rPr>
        <w:t>评级</w:t>
      </w:r>
    </w:p>
    <w:tbl>
      <w:tblPr>
        <w:tblStyle w:val="27"/>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44"/>
        <w:gridCol w:w="855"/>
        <w:gridCol w:w="1866"/>
        <w:gridCol w:w="41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8" w:type="pct"/>
            <w:vAlign w:val="top"/>
          </w:tcPr>
          <w:p>
            <w:pPr>
              <w:pStyle w:val="24"/>
              <w:bidi w:val="0"/>
              <w:jc w:val="center"/>
              <w:rPr>
                <w:rFonts w:hint="default"/>
                <w:color w:val="auto"/>
              </w:rPr>
            </w:pPr>
            <w:r>
              <w:rPr>
                <w:rFonts w:hint="default"/>
                <w:color w:val="auto"/>
              </w:rPr>
              <w:t>检查项目</w:t>
            </w:r>
          </w:p>
        </w:tc>
        <w:tc>
          <w:tcPr>
            <w:tcW w:w="1636" w:type="pct"/>
            <w:gridSpan w:val="2"/>
            <w:vAlign w:val="top"/>
          </w:tcPr>
          <w:p>
            <w:pPr>
              <w:pStyle w:val="24"/>
              <w:bidi w:val="0"/>
              <w:jc w:val="center"/>
              <w:rPr>
                <w:rFonts w:hint="default"/>
                <w:color w:val="auto"/>
              </w:rPr>
            </w:pPr>
            <w:r>
              <w:rPr>
                <w:rFonts w:hint="default"/>
                <w:color w:val="auto"/>
              </w:rPr>
              <w:t>构件类别</w:t>
            </w:r>
          </w:p>
        </w:tc>
        <w:tc>
          <w:tcPr>
            <w:tcW w:w="2494" w:type="pct"/>
            <w:vAlign w:val="top"/>
          </w:tcPr>
          <w:p>
            <w:pPr>
              <w:pStyle w:val="24"/>
              <w:bidi w:val="0"/>
              <w:jc w:val="center"/>
              <w:rPr>
                <w:rFonts w:hint="default"/>
                <w:color w:val="auto"/>
                <w:lang w:val="en-US"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val="en-US" w:eastAsia="zh-CN"/>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8" w:type="pct"/>
            <w:vMerge w:val="restart"/>
            <w:tcBorders>
              <w:bottom w:val="nil"/>
            </w:tcBorders>
            <w:vAlign w:val="top"/>
          </w:tcPr>
          <w:p>
            <w:pPr>
              <w:pStyle w:val="24"/>
              <w:bidi w:val="0"/>
              <w:jc w:val="center"/>
              <w:rPr>
                <w:rFonts w:hint="default"/>
                <w:color w:val="auto"/>
              </w:rPr>
            </w:pPr>
          </w:p>
          <w:p>
            <w:pPr>
              <w:pStyle w:val="24"/>
              <w:bidi w:val="0"/>
              <w:jc w:val="center"/>
              <w:rPr>
                <w:rFonts w:hint="default"/>
                <w:color w:val="auto"/>
              </w:rPr>
            </w:pPr>
          </w:p>
          <w:p>
            <w:pPr>
              <w:pStyle w:val="24"/>
              <w:bidi w:val="0"/>
              <w:jc w:val="center"/>
              <w:rPr>
                <w:rFonts w:hint="default"/>
                <w:color w:val="auto"/>
              </w:rPr>
            </w:pPr>
            <w:r>
              <w:rPr>
                <w:rFonts w:hint="default"/>
                <w:color w:val="auto"/>
              </w:rPr>
              <w:t>挠度</w:t>
            </w:r>
          </w:p>
        </w:tc>
        <w:tc>
          <w:tcPr>
            <w:tcW w:w="514" w:type="pct"/>
            <w:tcBorders>
              <w:bottom w:val="nil"/>
            </w:tcBorders>
            <w:vAlign w:val="top"/>
          </w:tcPr>
          <w:p>
            <w:pPr>
              <w:pStyle w:val="24"/>
              <w:bidi w:val="0"/>
              <w:jc w:val="center"/>
              <w:rPr>
                <w:rFonts w:hint="default"/>
                <w:color w:val="auto"/>
              </w:rPr>
            </w:pPr>
            <w:r>
              <w:rPr>
                <w:rFonts w:hint="default"/>
                <w:color w:val="auto"/>
              </w:rPr>
              <w:t>主要构件</w:t>
            </w:r>
          </w:p>
        </w:tc>
        <w:tc>
          <w:tcPr>
            <w:tcW w:w="1122" w:type="pct"/>
            <w:tcBorders>
              <w:bottom w:val="single" w:color="auto" w:sz="4" w:space="0"/>
            </w:tcBorders>
            <w:vAlign w:val="top"/>
          </w:tcPr>
          <w:p>
            <w:pPr>
              <w:pStyle w:val="24"/>
              <w:bidi w:val="0"/>
              <w:ind w:firstLine="0" w:firstLineChars="0"/>
              <w:jc w:val="center"/>
              <w:rPr>
                <w:rFonts w:hint="eastAsia" w:eastAsia="宋体"/>
                <w:color w:val="auto"/>
                <w:highlight w:val="green"/>
                <w:lang w:val="en-US" w:eastAsia="zh-CN"/>
              </w:rPr>
            </w:pPr>
            <w:r>
              <w:rPr>
                <w:rFonts w:hint="default"/>
                <w:color w:val="auto"/>
              </w:rPr>
              <w:t>主梁、托梁</w:t>
            </w:r>
          </w:p>
        </w:tc>
        <w:tc>
          <w:tcPr>
            <w:tcW w:w="2494" w:type="pct"/>
            <w:vAlign w:val="top"/>
          </w:tcPr>
          <w:p>
            <w:pPr>
              <w:pStyle w:val="24"/>
              <w:bidi w:val="0"/>
              <w:ind w:firstLine="0" w:firstLineChars="0"/>
              <w:jc w:val="center"/>
              <w:rPr>
                <w:rFonts w:hint="default"/>
                <w:color w:val="auto"/>
                <w:highlight w:val="none"/>
              </w:rPr>
            </w:pPr>
            <w:r>
              <w:rPr>
                <w:rFonts w:hint="eastAsia"/>
                <w:color w:val="auto"/>
                <w:highlight w:val="none"/>
                <w:lang w:val="en-US" w:eastAsia="zh-CN"/>
              </w:rPr>
              <w:t xml:space="preserve">&gt; </w:t>
            </w:r>
            <w:r>
              <w:rPr>
                <w:rFonts w:hint="default"/>
                <w:color w:val="auto"/>
              </w:rPr>
              <w:t>l₀/</w:t>
            </w:r>
            <w:r>
              <w:rPr>
                <w:rFonts w:hint="eastAsia"/>
                <w:color w:val="auto"/>
                <w:lang w:val="en-US" w:eastAsia="zh-CN"/>
              </w:rPr>
              <w:t>20</w:t>
            </w:r>
            <w:r>
              <w:rPr>
                <w:rFonts w:hint="default"/>
                <w:color w:val="auto"/>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8" w:type="pct"/>
            <w:vMerge w:val="continue"/>
            <w:tcBorders>
              <w:top w:val="nil"/>
              <w:bottom w:val="nil"/>
            </w:tcBorders>
            <w:vAlign w:val="top"/>
          </w:tcPr>
          <w:p>
            <w:pPr>
              <w:pStyle w:val="24"/>
              <w:bidi w:val="0"/>
              <w:jc w:val="center"/>
              <w:rPr>
                <w:rFonts w:hint="default"/>
                <w:color w:val="auto"/>
              </w:rPr>
            </w:pPr>
          </w:p>
        </w:tc>
        <w:tc>
          <w:tcPr>
            <w:tcW w:w="514" w:type="pct"/>
            <w:vMerge w:val="restart"/>
            <w:tcBorders>
              <w:bottom w:val="nil"/>
            </w:tcBorders>
            <w:vAlign w:val="top"/>
          </w:tcPr>
          <w:p>
            <w:pPr>
              <w:pStyle w:val="24"/>
              <w:bidi w:val="0"/>
              <w:jc w:val="center"/>
              <w:rPr>
                <w:rFonts w:hint="default"/>
                <w:color w:val="auto"/>
              </w:rPr>
            </w:pPr>
            <w:r>
              <w:rPr>
                <w:rFonts w:hint="default"/>
                <w:color w:val="auto"/>
              </w:rPr>
              <w:t>一般构件</w:t>
            </w:r>
          </w:p>
        </w:tc>
        <w:tc>
          <w:tcPr>
            <w:tcW w:w="1122" w:type="pct"/>
            <w:vAlign w:val="top"/>
          </w:tcPr>
          <w:p>
            <w:pPr>
              <w:pStyle w:val="24"/>
              <w:bidi w:val="0"/>
              <w:jc w:val="center"/>
              <w:rPr>
                <w:rFonts w:hint="default"/>
                <w:color w:val="auto"/>
              </w:rPr>
            </w:pPr>
            <w:r>
              <w:rPr>
                <w:rFonts w:hint="default"/>
                <w:color w:val="auto"/>
              </w:rPr>
              <w:t>其 它 梁</w:t>
            </w:r>
          </w:p>
        </w:tc>
        <w:tc>
          <w:tcPr>
            <w:tcW w:w="2494" w:type="pct"/>
            <w:vAlign w:val="top"/>
          </w:tcPr>
          <w:p>
            <w:pPr>
              <w:pStyle w:val="24"/>
              <w:bidi w:val="0"/>
              <w:ind w:firstLine="0" w:firstLineChars="0"/>
              <w:jc w:val="center"/>
              <w:rPr>
                <w:rFonts w:hint="default"/>
                <w:color w:val="auto"/>
              </w:rPr>
            </w:pPr>
            <w:r>
              <w:rPr>
                <w:rFonts w:hint="eastAsia"/>
                <w:color w:val="auto"/>
                <w:highlight w:val="none"/>
                <w:lang w:val="en-US" w:eastAsia="zh-CN"/>
              </w:rPr>
              <w:t xml:space="preserve">&gt; </w:t>
            </w:r>
            <w:r>
              <w:rPr>
                <w:rFonts w:hint="default"/>
                <w:color w:val="auto"/>
              </w:rPr>
              <w:t>l₀/1</w:t>
            </w:r>
            <w:r>
              <w:rPr>
                <w:rFonts w:hint="eastAsia"/>
                <w:color w:val="auto"/>
                <w:lang w:val="en-US" w:eastAsia="zh-CN"/>
              </w:rPr>
              <w:t>5</w:t>
            </w:r>
            <w:r>
              <w:rPr>
                <w:rFonts w:hint="default"/>
                <w:color w:val="auto"/>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8" w:type="pct"/>
            <w:vMerge w:val="continue"/>
            <w:tcBorders>
              <w:top w:val="nil"/>
            </w:tcBorders>
            <w:vAlign w:val="top"/>
          </w:tcPr>
          <w:p>
            <w:pPr>
              <w:pStyle w:val="24"/>
              <w:bidi w:val="0"/>
              <w:jc w:val="center"/>
              <w:rPr>
                <w:rFonts w:hint="default"/>
                <w:color w:val="auto"/>
              </w:rPr>
            </w:pPr>
          </w:p>
        </w:tc>
        <w:tc>
          <w:tcPr>
            <w:tcW w:w="514" w:type="pct"/>
            <w:vMerge w:val="continue"/>
            <w:tcBorders>
              <w:top w:val="nil"/>
            </w:tcBorders>
            <w:vAlign w:val="top"/>
          </w:tcPr>
          <w:p>
            <w:pPr>
              <w:pStyle w:val="24"/>
              <w:bidi w:val="0"/>
              <w:jc w:val="center"/>
              <w:rPr>
                <w:rFonts w:hint="default"/>
                <w:color w:val="auto"/>
              </w:rPr>
            </w:pPr>
          </w:p>
        </w:tc>
        <w:tc>
          <w:tcPr>
            <w:tcW w:w="1122" w:type="pct"/>
            <w:vAlign w:val="top"/>
          </w:tcPr>
          <w:p>
            <w:pPr>
              <w:pStyle w:val="24"/>
              <w:bidi w:val="0"/>
              <w:jc w:val="center"/>
              <w:rPr>
                <w:rFonts w:hint="default"/>
                <w:color w:val="auto"/>
              </w:rPr>
            </w:pPr>
            <w:r>
              <w:rPr>
                <w:rFonts w:hint="default"/>
                <w:color w:val="auto"/>
              </w:rPr>
              <w:t>檩 条 梁</w:t>
            </w:r>
          </w:p>
        </w:tc>
        <w:tc>
          <w:tcPr>
            <w:tcW w:w="2494" w:type="pct"/>
            <w:vAlign w:val="top"/>
          </w:tcPr>
          <w:p>
            <w:pPr>
              <w:pStyle w:val="24"/>
              <w:bidi w:val="0"/>
              <w:ind w:firstLine="0" w:firstLineChars="0"/>
              <w:jc w:val="center"/>
              <w:rPr>
                <w:rFonts w:hint="default"/>
                <w:color w:val="auto"/>
              </w:rPr>
            </w:pPr>
            <w:r>
              <w:rPr>
                <w:rFonts w:hint="eastAsia"/>
                <w:color w:val="auto"/>
                <w:highlight w:val="none"/>
                <w:lang w:val="en-US" w:eastAsia="zh-CN"/>
              </w:rPr>
              <w:t xml:space="preserve">&gt; </w:t>
            </w:r>
            <w:r>
              <w:rPr>
                <w:rFonts w:hint="default"/>
                <w:color w:val="auto"/>
              </w:rPr>
              <w:t>l₀/</w:t>
            </w:r>
            <w:r>
              <w:rPr>
                <w:rFonts w:hint="eastAsia"/>
                <w:color w:val="auto"/>
                <w:lang w:val="en-US" w:eastAsia="zh-CN"/>
              </w:rPr>
              <w:t>1</w:t>
            </w:r>
            <w:r>
              <w:rPr>
                <w:rFonts w:hint="default"/>
                <w:color w:val="auto"/>
              </w:rPr>
              <w:t>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8" w:type="pct"/>
            <w:vMerge w:val="restart"/>
            <w:tcBorders>
              <w:bottom w:val="nil"/>
            </w:tcBorders>
            <w:vAlign w:val="top"/>
          </w:tcPr>
          <w:p>
            <w:pPr>
              <w:pStyle w:val="24"/>
              <w:bidi w:val="0"/>
              <w:jc w:val="center"/>
              <w:rPr>
                <w:rFonts w:hint="default"/>
                <w:color w:val="auto"/>
              </w:rPr>
            </w:pPr>
            <w:r>
              <w:rPr>
                <w:rFonts w:hint="default"/>
                <w:color w:val="auto"/>
              </w:rPr>
              <w:t>侧向弯曲的矢高</w:t>
            </w:r>
          </w:p>
        </w:tc>
        <w:tc>
          <w:tcPr>
            <w:tcW w:w="1636" w:type="pct"/>
            <w:gridSpan w:val="2"/>
            <w:vAlign w:val="top"/>
          </w:tcPr>
          <w:p>
            <w:pPr>
              <w:pStyle w:val="24"/>
              <w:bidi w:val="0"/>
              <w:ind w:firstLine="0" w:firstLineChars="0"/>
              <w:jc w:val="center"/>
              <w:rPr>
                <w:rFonts w:hint="default"/>
                <w:color w:val="auto"/>
              </w:rPr>
            </w:pPr>
            <w:r>
              <w:rPr>
                <w:rFonts w:hint="default"/>
                <w:color w:val="auto"/>
              </w:rPr>
              <w:t>深梁</w:t>
            </w:r>
          </w:p>
        </w:tc>
        <w:tc>
          <w:tcPr>
            <w:tcW w:w="2494" w:type="pct"/>
            <w:vAlign w:val="top"/>
          </w:tcPr>
          <w:p>
            <w:pPr>
              <w:pStyle w:val="24"/>
              <w:bidi w:val="0"/>
              <w:ind w:firstLine="0" w:firstLineChars="0"/>
              <w:jc w:val="center"/>
              <w:rPr>
                <w:rFonts w:hint="eastAsia" w:eastAsia="宋体"/>
                <w:color w:val="auto"/>
                <w:lang w:eastAsia="zh-CN"/>
              </w:rPr>
            </w:pPr>
            <w:r>
              <w:rPr>
                <w:rFonts w:hint="eastAsia"/>
                <w:color w:val="auto"/>
                <w:highlight w:val="none"/>
                <w:lang w:val="en-US" w:eastAsia="zh-CN"/>
              </w:rPr>
              <w:t xml:space="preserve">&gt; </w:t>
            </w:r>
            <w:r>
              <w:rPr>
                <w:rFonts w:hint="default"/>
                <w:color w:val="auto"/>
              </w:rPr>
              <w:t>l₀/400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868" w:type="pct"/>
            <w:vMerge w:val="continue"/>
            <w:tcBorders>
              <w:top w:val="nil"/>
            </w:tcBorders>
            <w:vAlign w:val="top"/>
          </w:tcPr>
          <w:p>
            <w:pPr>
              <w:pStyle w:val="24"/>
              <w:bidi w:val="0"/>
              <w:jc w:val="center"/>
              <w:rPr>
                <w:rFonts w:hint="default"/>
                <w:color w:val="auto"/>
              </w:rPr>
            </w:pPr>
          </w:p>
        </w:tc>
        <w:tc>
          <w:tcPr>
            <w:tcW w:w="1636" w:type="pct"/>
            <w:gridSpan w:val="2"/>
            <w:vAlign w:val="top"/>
          </w:tcPr>
          <w:p>
            <w:pPr>
              <w:pStyle w:val="24"/>
              <w:bidi w:val="0"/>
              <w:ind w:firstLine="0" w:firstLineChars="0"/>
              <w:jc w:val="center"/>
              <w:rPr>
                <w:rFonts w:hint="default"/>
                <w:color w:val="auto"/>
              </w:rPr>
            </w:pPr>
            <w:r>
              <w:rPr>
                <w:rFonts w:hint="default"/>
                <w:color w:val="auto"/>
              </w:rPr>
              <w:t>一般实腹梁</w:t>
            </w:r>
          </w:p>
        </w:tc>
        <w:tc>
          <w:tcPr>
            <w:tcW w:w="2494" w:type="pct"/>
            <w:vAlign w:val="top"/>
          </w:tcPr>
          <w:p>
            <w:pPr>
              <w:pStyle w:val="24"/>
              <w:bidi w:val="0"/>
              <w:ind w:firstLine="0" w:firstLineChars="0"/>
              <w:jc w:val="center"/>
              <w:rPr>
                <w:rFonts w:hint="default"/>
                <w:color w:val="auto"/>
              </w:rPr>
            </w:pPr>
            <w:r>
              <w:rPr>
                <w:rFonts w:hint="eastAsia"/>
                <w:color w:val="auto"/>
                <w:highlight w:val="none"/>
                <w:lang w:val="en-US" w:eastAsia="zh-CN"/>
              </w:rPr>
              <w:t xml:space="preserve">&gt; </w:t>
            </w:r>
            <w:r>
              <w:rPr>
                <w:rFonts w:hint="default"/>
                <w:color w:val="auto"/>
              </w:rPr>
              <w:t>l₀/350</w:t>
            </w:r>
          </w:p>
        </w:tc>
      </w:tr>
    </w:tbl>
    <w:p>
      <w:pPr>
        <w:pStyle w:val="28"/>
        <w:bidi w:val="0"/>
        <w:rPr>
          <w:rFonts w:hint="default"/>
          <w:color w:val="auto"/>
        </w:rPr>
      </w:pPr>
      <w:r>
        <w:rPr>
          <w:rFonts w:hint="default"/>
          <w:color w:val="auto"/>
        </w:rPr>
        <w:t>注：表中l₀为构件计算跨度。</w:t>
      </w:r>
    </w:p>
    <w:p>
      <w:pPr>
        <w:pStyle w:val="25"/>
        <w:bidi w:val="0"/>
        <w:rPr>
          <w:rFonts w:hint="eastAsia"/>
          <w:color w:val="auto"/>
          <w:lang w:val="en-US" w:eastAsia="zh-CN"/>
        </w:rPr>
      </w:pPr>
      <w:r>
        <w:rPr>
          <w:color w:val="auto"/>
        </w:rPr>
        <w:t>表</w:t>
      </w:r>
      <w:r>
        <w:rPr>
          <w:rFonts w:hint="default"/>
          <w:color w:val="auto"/>
          <w:lang w:val="en-US" w:eastAsia="zh-CN"/>
        </w:rPr>
        <w:fldChar w:fldCharType="begin"/>
      </w:r>
      <w:r>
        <w:rPr>
          <w:rFonts w:hint="default"/>
          <w:color w:val="auto"/>
          <w:lang w:val="en-US" w:eastAsia="zh-CN"/>
        </w:rPr>
        <w:instrText xml:space="preserve"> REF _Ref16183 \n \h </w:instrText>
      </w:r>
      <w:r>
        <w:rPr>
          <w:rFonts w:hint="default"/>
          <w:color w:val="auto"/>
          <w:lang w:val="en-US" w:eastAsia="zh-CN"/>
        </w:rPr>
        <w:fldChar w:fldCharType="separate"/>
      </w:r>
      <w:r>
        <w:rPr>
          <w:rFonts w:hint="default"/>
          <w:color w:val="auto"/>
          <w:lang w:val="en-US" w:eastAsia="zh-CN"/>
        </w:rPr>
        <w:t>7.4.13</w:t>
      </w:r>
      <w:r>
        <w:rPr>
          <w:rFonts w:hint="default"/>
          <w:color w:val="auto"/>
          <w:lang w:val="en-US" w:eastAsia="zh-CN"/>
        </w:rPr>
        <w:fldChar w:fldCharType="end"/>
      </w:r>
      <w:r>
        <w:rPr>
          <w:rFonts w:hint="eastAsia"/>
          <w:color w:val="auto"/>
          <w:lang w:val="en-US" w:eastAsia="zh-CN"/>
        </w:rPr>
        <w:t>-2 钢结构构件安全性按</w:t>
      </w:r>
      <w:r>
        <w:rPr>
          <w:color w:val="auto"/>
        </w:rPr>
        <w:t>水平</w:t>
      </w:r>
      <w:r>
        <w:rPr>
          <w:rFonts w:hint="eastAsia"/>
          <w:color w:val="auto"/>
          <w:lang w:eastAsia="zh-CN"/>
        </w:rPr>
        <w:t>（</w:t>
      </w:r>
      <w:r>
        <w:rPr>
          <w:rFonts w:hint="eastAsia"/>
          <w:color w:val="auto"/>
          <w:lang w:val="en-US" w:eastAsia="zh-CN"/>
        </w:rPr>
        <w:t>侧向</w:t>
      </w:r>
      <w:r>
        <w:rPr>
          <w:rFonts w:hint="eastAsia"/>
          <w:color w:val="auto"/>
          <w:lang w:eastAsia="zh-CN"/>
        </w:rPr>
        <w:t>）</w:t>
      </w:r>
      <w:r>
        <w:rPr>
          <w:color w:val="auto"/>
        </w:rPr>
        <w:t>位移</w:t>
      </w:r>
      <w:r>
        <w:rPr>
          <w:rFonts w:hint="eastAsia"/>
          <w:color w:val="auto"/>
          <w:lang w:val="en-US" w:eastAsia="zh-CN"/>
        </w:rPr>
        <w:t>评级</w:t>
      </w:r>
    </w:p>
    <w:tbl>
      <w:tblPr>
        <w:tblStyle w:val="2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59"/>
        <w:gridCol w:w="4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9" w:hRule="atLeast"/>
          <w:jc w:val="center"/>
        </w:trPr>
        <w:tc>
          <w:tcPr>
            <w:tcW w:w="2501" w:type="pct"/>
            <w:vAlign w:val="top"/>
          </w:tcPr>
          <w:p>
            <w:pPr>
              <w:pStyle w:val="24"/>
              <w:bidi w:val="0"/>
              <w:rPr>
                <w:color w:val="auto"/>
              </w:rPr>
            </w:pPr>
            <w:r>
              <w:rPr>
                <w:rFonts w:hint="eastAsia"/>
                <w:color w:val="auto"/>
                <w:lang w:val="en-US" w:eastAsia="zh-CN"/>
              </w:rPr>
              <w:t>构件</w:t>
            </w:r>
            <w:r>
              <w:rPr>
                <w:color w:val="auto"/>
              </w:rPr>
              <w:t>类别</w:t>
            </w:r>
          </w:p>
        </w:tc>
        <w:tc>
          <w:tcPr>
            <w:tcW w:w="2498" w:type="pct"/>
            <w:vAlign w:val="top"/>
          </w:tcPr>
          <w:p>
            <w:pPr>
              <w:pStyle w:val="24"/>
              <w:bidi w:val="0"/>
              <w:rPr>
                <w:rFonts w:hint="default"/>
                <w:color w:val="auto"/>
                <w:lang w:val="en-US"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val="en-US" w:eastAsia="zh-CN"/>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501" w:type="pct"/>
            <w:vAlign w:val="top"/>
          </w:tcPr>
          <w:p>
            <w:pPr>
              <w:pStyle w:val="24"/>
              <w:bidi w:val="0"/>
              <w:rPr>
                <w:rFonts w:hint="default"/>
                <w:color w:val="auto"/>
                <w:lang w:val="en-US" w:eastAsia="zh-CN"/>
              </w:rPr>
            </w:pPr>
            <w:r>
              <w:rPr>
                <w:rFonts w:hint="eastAsia"/>
                <w:color w:val="auto"/>
                <w:lang w:val="en-US" w:eastAsia="zh-CN"/>
              </w:rPr>
              <w:t>柱</w:t>
            </w:r>
          </w:p>
        </w:tc>
        <w:tc>
          <w:tcPr>
            <w:tcW w:w="2498" w:type="pct"/>
            <w:shd w:val="clear" w:color="auto" w:fill="auto"/>
            <w:vAlign w:val="top"/>
          </w:tcPr>
          <w:p>
            <w:pPr>
              <w:pStyle w:val="24"/>
              <w:bidi w:val="0"/>
              <w:ind w:firstLine="0" w:firstLineChars="0"/>
              <w:rPr>
                <w:rFonts w:hint="eastAsia" w:ascii="Times New Roman" w:hAnsi="Times New Roman" w:eastAsia="宋体" w:cs="Times New Roman"/>
                <w:color w:val="auto"/>
                <w:kern w:val="2"/>
                <w:sz w:val="21"/>
                <w:szCs w:val="21"/>
                <w:highlight w:val="none"/>
                <w:lang w:val="en-US" w:eastAsia="zh-CN" w:bidi="ar-SA"/>
              </w:rPr>
            </w:pPr>
            <w:r>
              <w:rPr>
                <w:rFonts w:hint="eastAsia"/>
                <w:color w:val="auto"/>
                <w:highlight w:val="none"/>
                <w:lang w:val="en-US" w:eastAsia="zh-CN"/>
              </w:rPr>
              <w:t xml:space="preserve">&gt; </w:t>
            </w:r>
            <w:r>
              <w:rPr>
                <w:color w:val="auto"/>
              </w:rPr>
              <w:t>H</w:t>
            </w:r>
            <w:r>
              <w:rPr>
                <w:rFonts w:hint="eastAsia"/>
                <w:color w:val="auto"/>
                <w:lang w:val="en-US" w:eastAsia="zh-CN"/>
              </w:rPr>
              <w:t>i</w:t>
            </w:r>
            <w:r>
              <w:rPr>
                <w:color w:val="auto"/>
              </w:rPr>
              <w:t>/</w:t>
            </w:r>
            <w:r>
              <w:rPr>
                <w:rFonts w:hint="eastAsia"/>
                <w:color w:val="auto"/>
                <w:lang w:val="en-US" w:eastAsia="zh-CN"/>
              </w:rPr>
              <w:t>1</w:t>
            </w:r>
            <w:r>
              <w:rPr>
                <w:color w:val="auto"/>
              </w:rPr>
              <w:t>50</w:t>
            </w:r>
          </w:p>
        </w:tc>
      </w:tr>
    </w:tbl>
    <w:p>
      <w:pPr>
        <w:pStyle w:val="28"/>
        <w:bidi w:val="0"/>
        <w:rPr>
          <w:rFonts w:hint="eastAsia"/>
          <w:color w:val="auto"/>
          <w:lang w:val="en-US" w:eastAsia="zh-CN"/>
        </w:rPr>
      </w:pPr>
      <w:r>
        <w:rPr>
          <w:rFonts w:hint="eastAsia"/>
          <w:color w:val="auto"/>
          <w:lang w:val="en-US" w:eastAsia="zh-CN"/>
        </w:rPr>
        <w:t>注：</w:t>
      </w:r>
      <w:r>
        <w:rPr>
          <w:color w:val="auto"/>
        </w:rPr>
        <w:t>H</w:t>
      </w:r>
      <w:r>
        <w:rPr>
          <w:rFonts w:hint="eastAsia"/>
          <w:color w:val="auto"/>
          <w:lang w:val="en-US" w:eastAsia="zh-CN"/>
        </w:rPr>
        <w:t>i指层高，单层建筑指柱顶高度。</w:t>
      </w:r>
    </w:p>
    <w:p>
      <w:pPr>
        <w:pStyle w:val="36"/>
        <w:bidi w:val="0"/>
        <w:rPr>
          <w:rFonts w:hint="eastAsia"/>
          <w:color w:val="auto"/>
          <w:lang w:val="en-US" w:eastAsia="zh-CN"/>
        </w:rPr>
      </w:pPr>
      <w:r>
        <w:rPr>
          <w:rFonts w:hint="eastAsia"/>
          <w:color w:val="auto"/>
          <w:lang w:val="en-US" w:eastAsia="zh-CN"/>
        </w:rPr>
        <w:t>施工偏差或其他使用原因引起的柱、桁架受压弦杆的弯曲，当弯曲矢高实测值大于柱的自由长度的1/660时，应考虑附加弯矩影响，按验算项目评级；</w:t>
      </w:r>
    </w:p>
    <w:p>
      <w:pPr>
        <w:pStyle w:val="36"/>
        <w:bidi w:val="0"/>
        <w:rPr>
          <w:rFonts w:hint="eastAsia"/>
          <w:color w:val="auto"/>
          <w:lang w:val="en-US" w:eastAsia="zh-CN"/>
        </w:rPr>
      </w:pPr>
      <w:r>
        <w:rPr>
          <w:rFonts w:hint="eastAsia"/>
          <w:color w:val="auto"/>
          <w:lang w:val="en-US" w:eastAsia="zh-CN"/>
        </w:rPr>
        <w:t>钢桁架中的双角钢受压腹杆无明显缺陷但存在整体弯曲变形，当整体弯曲变形不大于表</w:t>
      </w:r>
      <w:r>
        <w:rPr>
          <w:rFonts w:hint="default"/>
          <w:color w:val="auto"/>
          <w:lang w:val="en-US" w:eastAsia="zh-CN"/>
        </w:rPr>
        <w:fldChar w:fldCharType="begin"/>
      </w:r>
      <w:r>
        <w:rPr>
          <w:rFonts w:hint="default"/>
          <w:color w:val="auto"/>
          <w:lang w:val="en-US" w:eastAsia="zh-CN"/>
        </w:rPr>
        <w:instrText xml:space="preserve"> REF _Ref16183 \n \h </w:instrText>
      </w:r>
      <w:r>
        <w:rPr>
          <w:rFonts w:hint="default"/>
          <w:color w:val="auto"/>
          <w:lang w:val="en-US" w:eastAsia="zh-CN"/>
        </w:rPr>
        <w:fldChar w:fldCharType="separate"/>
      </w:r>
      <w:r>
        <w:rPr>
          <w:rFonts w:hint="default"/>
          <w:color w:val="auto"/>
          <w:lang w:val="en-US" w:eastAsia="zh-CN"/>
        </w:rPr>
        <w:t>7.4.13</w:t>
      </w:r>
      <w:r>
        <w:rPr>
          <w:rFonts w:hint="default"/>
          <w:color w:val="auto"/>
          <w:lang w:val="en-US" w:eastAsia="zh-CN"/>
        </w:rPr>
        <w:fldChar w:fldCharType="end"/>
      </w:r>
      <w:r>
        <w:rPr>
          <w:rFonts w:hint="eastAsia"/>
          <w:color w:val="auto"/>
          <w:lang w:val="en-US" w:eastAsia="zh-CN"/>
        </w:rPr>
        <w:t>-3规定的限值时，其安全性评为b</w:t>
      </w:r>
      <w:r>
        <w:rPr>
          <w:rFonts w:hint="eastAsia" w:hAnsi="Cambria Math" w:cs="宋体"/>
          <w:color w:val="auto"/>
          <w:kern w:val="0"/>
          <w:szCs w:val="24"/>
          <w:vertAlign w:val="subscript"/>
          <w:lang w:val="en-US" w:eastAsia="zh-CN" w:bidi="ar"/>
        </w:rPr>
        <w:t>u</w:t>
      </w:r>
      <w:r>
        <w:rPr>
          <w:rFonts w:hint="eastAsia"/>
          <w:color w:val="auto"/>
          <w:lang w:val="en-US" w:eastAsia="zh-CN"/>
        </w:rPr>
        <w:t>级；当整体弯曲变形已大于表中规定的限值时，应评为c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25"/>
        <w:bidi w:val="0"/>
        <w:rPr>
          <w:rFonts w:hint="eastAsia"/>
          <w:color w:val="auto"/>
        </w:rPr>
      </w:pPr>
      <w:r>
        <w:rPr>
          <w:rFonts w:hint="eastAsia"/>
          <w:color w:val="auto"/>
        </w:rPr>
        <w:t>表</w:t>
      </w:r>
      <w:r>
        <w:rPr>
          <w:rFonts w:hint="default"/>
          <w:color w:val="auto"/>
          <w:lang w:val="en-US" w:eastAsia="zh-CN"/>
        </w:rPr>
        <w:fldChar w:fldCharType="begin"/>
      </w:r>
      <w:r>
        <w:rPr>
          <w:rFonts w:hint="default"/>
          <w:color w:val="auto"/>
          <w:lang w:val="en-US" w:eastAsia="zh-CN"/>
        </w:rPr>
        <w:instrText xml:space="preserve"> REF _Ref16183 \n \h </w:instrText>
      </w:r>
      <w:r>
        <w:rPr>
          <w:rFonts w:hint="default"/>
          <w:color w:val="auto"/>
          <w:lang w:val="en-US" w:eastAsia="zh-CN"/>
        </w:rPr>
        <w:fldChar w:fldCharType="separate"/>
      </w:r>
      <w:r>
        <w:rPr>
          <w:rFonts w:hint="default"/>
          <w:color w:val="auto"/>
          <w:lang w:val="en-US" w:eastAsia="zh-CN"/>
        </w:rPr>
        <w:t>7.4.13</w:t>
      </w:r>
      <w:r>
        <w:rPr>
          <w:rFonts w:hint="default"/>
          <w:color w:val="auto"/>
          <w:lang w:val="en-US" w:eastAsia="zh-CN"/>
        </w:rPr>
        <w:fldChar w:fldCharType="end"/>
      </w:r>
      <w:r>
        <w:rPr>
          <w:rFonts w:hint="eastAsia"/>
          <w:color w:val="auto"/>
          <w:lang w:val="en-US" w:eastAsia="zh-CN"/>
        </w:rPr>
        <w:t>-3</w:t>
      </w:r>
      <w:r>
        <w:rPr>
          <w:rFonts w:hint="eastAsia"/>
          <w:color w:val="auto"/>
        </w:rPr>
        <w:t xml:space="preserve"> 钢桁架双角钢受压腹杆整体弯曲变形限值</w:t>
      </w:r>
    </w:p>
    <w:tbl>
      <w:tblPr>
        <w:tblStyle w:val="27"/>
        <w:tblW w:w="504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15"/>
        <w:gridCol w:w="1407"/>
        <w:gridCol w:w="1289"/>
        <w:gridCol w:w="1289"/>
        <w:gridCol w:w="1289"/>
        <w:gridCol w:w="13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81" w:type="pct"/>
            <w:vMerge w:val="restart"/>
            <w:noWrap w:val="0"/>
            <w:vAlign w:val="center"/>
          </w:tcPr>
          <w:p>
            <w:pPr>
              <w:pStyle w:val="24"/>
              <w:bidi w:val="0"/>
              <w:jc w:val="center"/>
              <w:rPr>
                <w:rFonts w:hint="default"/>
                <w:color w:val="auto"/>
              </w:rPr>
            </w:pPr>
            <w:r>
              <w:rPr>
                <w:rFonts w:hint="eastAsia"/>
                <w:color w:val="auto"/>
                <w:lang w:eastAsia="zh-CN"/>
              </w:rPr>
              <w:t>σ</w:t>
            </w:r>
            <w:r>
              <w:rPr>
                <w:rFonts w:hint="default"/>
                <w:color w:val="auto"/>
              </w:rPr>
              <w:t>=N/φA</w:t>
            </w:r>
          </w:p>
        </w:tc>
        <w:tc>
          <w:tcPr>
            <w:tcW w:w="3918" w:type="pct"/>
            <w:gridSpan w:val="5"/>
            <w:noWrap w:val="0"/>
            <w:vAlign w:val="center"/>
          </w:tcPr>
          <w:p>
            <w:pPr>
              <w:pStyle w:val="24"/>
              <w:bidi w:val="0"/>
              <w:jc w:val="center"/>
              <w:rPr>
                <w:rFonts w:hint="default"/>
                <w:color w:val="auto"/>
              </w:rPr>
            </w:pPr>
            <w:r>
              <w:rPr>
                <w:rFonts w:hint="eastAsia"/>
                <w:color w:val="auto"/>
                <w:lang w:eastAsia="zh-CN"/>
              </w:rPr>
              <w:t>b</w:t>
            </w:r>
            <w:r>
              <w:rPr>
                <w:rFonts w:hint="eastAsia" w:hAnsi="Cambria Math" w:cs="宋体"/>
                <w:color w:val="auto"/>
                <w:kern w:val="0"/>
                <w:sz w:val="24"/>
                <w:szCs w:val="24"/>
                <w:vertAlign w:val="subscript"/>
                <w:lang w:val="en-US" w:eastAsia="zh-CN" w:bidi="ar"/>
              </w:rPr>
              <w:t>u</w:t>
            </w:r>
            <w:r>
              <w:rPr>
                <w:rFonts w:hint="default"/>
                <w:color w:val="auto"/>
              </w:rPr>
              <w:t>级压杆的双向弯曲限值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081" w:type="pct"/>
            <w:vMerge w:val="continue"/>
            <w:noWrap w:val="0"/>
            <w:vAlign w:val="center"/>
          </w:tcPr>
          <w:p>
            <w:pPr>
              <w:pStyle w:val="24"/>
              <w:bidi w:val="0"/>
              <w:jc w:val="center"/>
              <w:rPr>
                <w:rFonts w:hint="default"/>
                <w:color w:val="auto"/>
              </w:rPr>
            </w:pPr>
          </w:p>
        </w:tc>
        <w:tc>
          <w:tcPr>
            <w:tcW w:w="838" w:type="pct"/>
            <w:noWrap w:val="0"/>
            <w:vAlign w:val="center"/>
          </w:tcPr>
          <w:p>
            <w:pPr>
              <w:pStyle w:val="24"/>
              <w:bidi w:val="0"/>
              <w:jc w:val="center"/>
              <w:rPr>
                <w:rFonts w:hint="default"/>
                <w:color w:val="auto"/>
              </w:rPr>
            </w:pPr>
            <w:r>
              <w:rPr>
                <w:rFonts w:hint="default"/>
                <w:color w:val="auto"/>
              </w:rPr>
              <w:t>方向</w:t>
            </w:r>
          </w:p>
        </w:tc>
        <w:tc>
          <w:tcPr>
            <w:tcW w:w="3080" w:type="pct"/>
            <w:gridSpan w:val="4"/>
            <w:noWrap w:val="0"/>
            <w:vAlign w:val="center"/>
          </w:tcPr>
          <w:p>
            <w:pPr>
              <w:pStyle w:val="24"/>
              <w:bidi w:val="0"/>
              <w:jc w:val="center"/>
              <w:rPr>
                <w:rFonts w:hint="default"/>
                <w:color w:val="auto"/>
              </w:rPr>
            </w:pPr>
            <w:r>
              <w:rPr>
                <w:rFonts w:hint="default"/>
                <w:color w:val="auto"/>
              </w:rPr>
              <w:t>弯曲矢高与杆件长度之比</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81" w:type="pct"/>
            <w:vMerge w:val="restart"/>
            <w:tcBorders>
              <w:bottom w:val="nil"/>
            </w:tcBorders>
            <w:noWrap w:val="0"/>
            <w:vAlign w:val="center"/>
          </w:tcPr>
          <w:p>
            <w:pPr>
              <w:pStyle w:val="24"/>
              <w:bidi w:val="0"/>
              <w:jc w:val="center"/>
              <w:rPr>
                <w:rFonts w:hint="default"/>
                <w:color w:val="auto"/>
              </w:rPr>
            </w:pPr>
            <w:r>
              <w:rPr>
                <w:rFonts w:hint="default"/>
                <w:color w:val="auto"/>
              </w:rPr>
              <w:t>f</w:t>
            </w:r>
          </w:p>
        </w:tc>
        <w:tc>
          <w:tcPr>
            <w:tcW w:w="838" w:type="pct"/>
            <w:noWrap w:val="0"/>
            <w:vAlign w:val="center"/>
          </w:tcPr>
          <w:p>
            <w:pPr>
              <w:pStyle w:val="24"/>
              <w:bidi w:val="0"/>
              <w:jc w:val="center"/>
              <w:rPr>
                <w:rFonts w:hint="default"/>
                <w:color w:val="auto"/>
              </w:rPr>
            </w:pPr>
            <w:r>
              <w:rPr>
                <w:rFonts w:hint="default"/>
                <w:color w:val="auto"/>
              </w:rPr>
              <w:t>平面外</w:t>
            </w:r>
          </w:p>
        </w:tc>
        <w:tc>
          <w:tcPr>
            <w:tcW w:w="768" w:type="pct"/>
            <w:noWrap w:val="0"/>
            <w:vAlign w:val="center"/>
          </w:tcPr>
          <w:p>
            <w:pPr>
              <w:pStyle w:val="24"/>
              <w:bidi w:val="0"/>
              <w:jc w:val="center"/>
              <w:rPr>
                <w:rFonts w:hint="default"/>
                <w:color w:val="auto"/>
              </w:rPr>
            </w:pPr>
            <w:r>
              <w:rPr>
                <w:rFonts w:hint="default"/>
                <w:color w:val="auto"/>
              </w:rPr>
              <w:t>1/550</w:t>
            </w:r>
          </w:p>
        </w:tc>
        <w:tc>
          <w:tcPr>
            <w:tcW w:w="768" w:type="pct"/>
            <w:noWrap w:val="0"/>
            <w:vAlign w:val="center"/>
          </w:tcPr>
          <w:p>
            <w:pPr>
              <w:pStyle w:val="24"/>
              <w:bidi w:val="0"/>
              <w:jc w:val="center"/>
              <w:rPr>
                <w:rFonts w:hint="default"/>
                <w:color w:val="auto"/>
              </w:rPr>
            </w:pPr>
            <w:r>
              <w:rPr>
                <w:rFonts w:hint="default"/>
                <w:color w:val="auto"/>
              </w:rPr>
              <w:t>1/750</w:t>
            </w:r>
          </w:p>
        </w:tc>
        <w:tc>
          <w:tcPr>
            <w:tcW w:w="768" w:type="pct"/>
            <w:noWrap w:val="0"/>
            <w:vAlign w:val="center"/>
          </w:tcPr>
          <w:p>
            <w:pPr>
              <w:pStyle w:val="24"/>
              <w:bidi w:val="0"/>
              <w:jc w:val="center"/>
              <w:rPr>
                <w:rFonts w:hint="default"/>
                <w:color w:val="auto"/>
              </w:rPr>
            </w:pPr>
            <w:r>
              <w:rPr>
                <w:rFonts w:hint="default"/>
                <w:color w:val="auto"/>
              </w:rPr>
              <w:t>≤1/850</w:t>
            </w:r>
          </w:p>
        </w:tc>
        <w:tc>
          <w:tcPr>
            <w:tcW w:w="775" w:type="pct"/>
            <w:noWrap w:val="0"/>
            <w:vAlign w:val="center"/>
          </w:tcPr>
          <w:p>
            <w:pPr>
              <w:pStyle w:val="24"/>
              <w:bidi w:val="0"/>
              <w:jc w:val="center"/>
              <w:rPr>
                <w:rFonts w:hint="eastAsia" w:eastAsia="宋体"/>
                <w:color w:val="auto"/>
                <w:lang w:eastAsia="zh-CN"/>
              </w:rPr>
            </w:pPr>
            <w:r>
              <w:rPr>
                <w:rFonts w:hint="eastAsia"/>
                <w:color w:val="auto"/>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81" w:type="pct"/>
            <w:vMerge w:val="continue"/>
            <w:tcBorders>
              <w:top w:val="nil"/>
            </w:tcBorders>
            <w:noWrap w:val="0"/>
            <w:vAlign w:val="center"/>
          </w:tcPr>
          <w:p>
            <w:pPr>
              <w:pStyle w:val="24"/>
              <w:bidi w:val="0"/>
              <w:jc w:val="center"/>
              <w:rPr>
                <w:rFonts w:hint="default"/>
                <w:color w:val="auto"/>
              </w:rPr>
            </w:pPr>
          </w:p>
        </w:tc>
        <w:tc>
          <w:tcPr>
            <w:tcW w:w="838" w:type="pct"/>
            <w:noWrap w:val="0"/>
            <w:vAlign w:val="center"/>
          </w:tcPr>
          <w:p>
            <w:pPr>
              <w:pStyle w:val="24"/>
              <w:bidi w:val="0"/>
              <w:jc w:val="center"/>
              <w:rPr>
                <w:rFonts w:hint="default"/>
                <w:color w:val="auto"/>
              </w:rPr>
            </w:pPr>
            <w:r>
              <w:rPr>
                <w:rFonts w:hint="default"/>
                <w:color w:val="auto"/>
              </w:rPr>
              <w:t>平面内</w:t>
            </w:r>
          </w:p>
        </w:tc>
        <w:tc>
          <w:tcPr>
            <w:tcW w:w="768" w:type="pct"/>
            <w:noWrap w:val="0"/>
            <w:vAlign w:val="center"/>
          </w:tcPr>
          <w:p>
            <w:pPr>
              <w:pStyle w:val="24"/>
              <w:bidi w:val="0"/>
              <w:jc w:val="center"/>
              <w:rPr>
                <w:rFonts w:hint="default"/>
                <w:color w:val="auto"/>
              </w:rPr>
            </w:pPr>
            <w:r>
              <w:rPr>
                <w:rFonts w:hint="default"/>
                <w:color w:val="auto"/>
              </w:rPr>
              <w:t>1/1000</w:t>
            </w:r>
          </w:p>
        </w:tc>
        <w:tc>
          <w:tcPr>
            <w:tcW w:w="768" w:type="pct"/>
            <w:noWrap w:val="0"/>
            <w:vAlign w:val="center"/>
          </w:tcPr>
          <w:p>
            <w:pPr>
              <w:pStyle w:val="24"/>
              <w:bidi w:val="0"/>
              <w:jc w:val="center"/>
              <w:rPr>
                <w:rFonts w:hint="default"/>
                <w:color w:val="auto"/>
              </w:rPr>
            </w:pPr>
            <w:r>
              <w:rPr>
                <w:rFonts w:hint="default"/>
                <w:color w:val="auto"/>
              </w:rPr>
              <w:t>1/900</w:t>
            </w:r>
          </w:p>
        </w:tc>
        <w:tc>
          <w:tcPr>
            <w:tcW w:w="768" w:type="pct"/>
            <w:noWrap w:val="0"/>
            <w:vAlign w:val="center"/>
          </w:tcPr>
          <w:p>
            <w:pPr>
              <w:pStyle w:val="24"/>
              <w:bidi w:val="0"/>
              <w:jc w:val="center"/>
              <w:rPr>
                <w:rFonts w:hint="default"/>
                <w:color w:val="auto"/>
              </w:rPr>
            </w:pPr>
            <w:r>
              <w:rPr>
                <w:rFonts w:hint="default"/>
                <w:color w:val="auto"/>
              </w:rPr>
              <w:t>1/800</w:t>
            </w:r>
          </w:p>
        </w:tc>
        <w:tc>
          <w:tcPr>
            <w:tcW w:w="775" w:type="pct"/>
            <w:noWrap w:val="0"/>
            <w:vAlign w:val="center"/>
          </w:tcPr>
          <w:p>
            <w:pPr>
              <w:pStyle w:val="24"/>
              <w:bidi w:val="0"/>
              <w:jc w:val="center"/>
              <w:rPr>
                <w:rFonts w:hint="eastAsia" w:eastAsia="宋体"/>
                <w:color w:val="auto"/>
                <w:lang w:eastAsia="zh-CN"/>
              </w:rPr>
            </w:pPr>
            <w:r>
              <w:rPr>
                <w:rFonts w:hint="eastAsia"/>
                <w:color w:val="auto"/>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081" w:type="pct"/>
            <w:vMerge w:val="restart"/>
            <w:tcBorders>
              <w:bottom w:val="nil"/>
            </w:tcBorders>
            <w:noWrap w:val="0"/>
            <w:vAlign w:val="center"/>
          </w:tcPr>
          <w:p>
            <w:pPr>
              <w:pStyle w:val="24"/>
              <w:bidi w:val="0"/>
              <w:jc w:val="center"/>
              <w:rPr>
                <w:rFonts w:hint="default"/>
                <w:color w:val="auto"/>
              </w:rPr>
            </w:pPr>
            <w:r>
              <w:rPr>
                <w:rFonts w:hint="default"/>
                <w:color w:val="auto"/>
              </w:rPr>
              <w:t>0.9f</w:t>
            </w:r>
          </w:p>
        </w:tc>
        <w:tc>
          <w:tcPr>
            <w:tcW w:w="838" w:type="pct"/>
            <w:noWrap w:val="0"/>
            <w:vAlign w:val="center"/>
          </w:tcPr>
          <w:p>
            <w:pPr>
              <w:pStyle w:val="24"/>
              <w:bidi w:val="0"/>
              <w:jc w:val="center"/>
              <w:rPr>
                <w:rFonts w:hint="default"/>
                <w:color w:val="auto"/>
              </w:rPr>
            </w:pPr>
            <w:r>
              <w:rPr>
                <w:rFonts w:hint="default"/>
                <w:color w:val="auto"/>
              </w:rPr>
              <w:t>平面外</w:t>
            </w:r>
          </w:p>
        </w:tc>
        <w:tc>
          <w:tcPr>
            <w:tcW w:w="768" w:type="pct"/>
            <w:noWrap w:val="0"/>
            <w:vAlign w:val="center"/>
          </w:tcPr>
          <w:p>
            <w:pPr>
              <w:pStyle w:val="24"/>
              <w:bidi w:val="0"/>
              <w:jc w:val="center"/>
              <w:rPr>
                <w:rFonts w:hint="default"/>
                <w:color w:val="auto"/>
              </w:rPr>
            </w:pPr>
            <w:r>
              <w:rPr>
                <w:rFonts w:hint="default"/>
                <w:color w:val="auto"/>
              </w:rPr>
              <w:t>1/350</w:t>
            </w:r>
          </w:p>
        </w:tc>
        <w:tc>
          <w:tcPr>
            <w:tcW w:w="768" w:type="pct"/>
            <w:noWrap w:val="0"/>
            <w:vAlign w:val="center"/>
          </w:tcPr>
          <w:p>
            <w:pPr>
              <w:pStyle w:val="24"/>
              <w:bidi w:val="0"/>
              <w:jc w:val="center"/>
              <w:rPr>
                <w:rFonts w:hint="default"/>
                <w:color w:val="auto"/>
              </w:rPr>
            </w:pPr>
            <w:r>
              <w:rPr>
                <w:rFonts w:hint="default"/>
                <w:color w:val="auto"/>
              </w:rPr>
              <w:t>1/450</w:t>
            </w:r>
          </w:p>
        </w:tc>
        <w:tc>
          <w:tcPr>
            <w:tcW w:w="768" w:type="pct"/>
            <w:noWrap w:val="0"/>
            <w:vAlign w:val="center"/>
          </w:tcPr>
          <w:p>
            <w:pPr>
              <w:pStyle w:val="24"/>
              <w:bidi w:val="0"/>
              <w:jc w:val="center"/>
              <w:rPr>
                <w:rFonts w:hint="default"/>
                <w:color w:val="auto"/>
              </w:rPr>
            </w:pPr>
            <w:r>
              <w:rPr>
                <w:rFonts w:hint="default"/>
                <w:color w:val="auto"/>
              </w:rPr>
              <w:t>1/550</w:t>
            </w:r>
          </w:p>
        </w:tc>
        <w:tc>
          <w:tcPr>
            <w:tcW w:w="775" w:type="pct"/>
            <w:noWrap w:val="0"/>
            <w:vAlign w:val="center"/>
          </w:tcPr>
          <w:p>
            <w:pPr>
              <w:pStyle w:val="24"/>
              <w:bidi w:val="0"/>
              <w:jc w:val="center"/>
              <w:rPr>
                <w:rFonts w:hint="default"/>
                <w:color w:val="auto"/>
              </w:rPr>
            </w:pPr>
            <w:r>
              <w:rPr>
                <w:rFonts w:hint="default"/>
                <w:color w:val="auto"/>
              </w:rPr>
              <w:t>≤1/850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081" w:type="pct"/>
            <w:vMerge w:val="continue"/>
            <w:tcBorders>
              <w:top w:val="nil"/>
            </w:tcBorders>
            <w:noWrap w:val="0"/>
            <w:vAlign w:val="center"/>
          </w:tcPr>
          <w:p>
            <w:pPr>
              <w:pStyle w:val="24"/>
              <w:bidi w:val="0"/>
              <w:jc w:val="center"/>
              <w:rPr>
                <w:rFonts w:hint="default"/>
                <w:color w:val="auto"/>
              </w:rPr>
            </w:pPr>
          </w:p>
        </w:tc>
        <w:tc>
          <w:tcPr>
            <w:tcW w:w="838" w:type="pct"/>
            <w:noWrap w:val="0"/>
            <w:vAlign w:val="center"/>
          </w:tcPr>
          <w:p>
            <w:pPr>
              <w:pStyle w:val="24"/>
              <w:bidi w:val="0"/>
              <w:jc w:val="center"/>
              <w:rPr>
                <w:rFonts w:hint="default"/>
                <w:color w:val="auto"/>
              </w:rPr>
            </w:pPr>
            <w:r>
              <w:rPr>
                <w:rFonts w:hint="default"/>
                <w:color w:val="auto"/>
              </w:rPr>
              <w:t>平面内</w:t>
            </w:r>
          </w:p>
        </w:tc>
        <w:tc>
          <w:tcPr>
            <w:tcW w:w="768" w:type="pct"/>
            <w:noWrap w:val="0"/>
            <w:vAlign w:val="center"/>
          </w:tcPr>
          <w:p>
            <w:pPr>
              <w:pStyle w:val="24"/>
              <w:bidi w:val="0"/>
              <w:jc w:val="center"/>
              <w:rPr>
                <w:rFonts w:hint="default"/>
                <w:color w:val="auto"/>
              </w:rPr>
            </w:pPr>
            <w:r>
              <w:rPr>
                <w:rFonts w:hint="default"/>
                <w:color w:val="auto"/>
              </w:rPr>
              <w:t>1/1000</w:t>
            </w:r>
          </w:p>
        </w:tc>
        <w:tc>
          <w:tcPr>
            <w:tcW w:w="768" w:type="pct"/>
            <w:noWrap w:val="0"/>
            <w:vAlign w:val="center"/>
          </w:tcPr>
          <w:p>
            <w:pPr>
              <w:pStyle w:val="24"/>
              <w:bidi w:val="0"/>
              <w:jc w:val="center"/>
              <w:rPr>
                <w:rFonts w:hint="default"/>
                <w:color w:val="auto"/>
              </w:rPr>
            </w:pPr>
            <w:r>
              <w:rPr>
                <w:rFonts w:hint="default"/>
                <w:color w:val="auto"/>
              </w:rPr>
              <w:t>1/750</w:t>
            </w:r>
          </w:p>
        </w:tc>
        <w:tc>
          <w:tcPr>
            <w:tcW w:w="768" w:type="pct"/>
            <w:noWrap w:val="0"/>
            <w:vAlign w:val="center"/>
          </w:tcPr>
          <w:p>
            <w:pPr>
              <w:pStyle w:val="24"/>
              <w:bidi w:val="0"/>
              <w:jc w:val="center"/>
              <w:rPr>
                <w:rFonts w:hint="default"/>
                <w:color w:val="auto"/>
              </w:rPr>
            </w:pPr>
            <w:r>
              <w:rPr>
                <w:rFonts w:hint="default"/>
                <w:color w:val="auto"/>
              </w:rPr>
              <w:t>1/650</w:t>
            </w:r>
          </w:p>
        </w:tc>
        <w:tc>
          <w:tcPr>
            <w:tcW w:w="775" w:type="pct"/>
            <w:noWrap w:val="0"/>
            <w:vAlign w:val="center"/>
          </w:tcPr>
          <w:p>
            <w:pPr>
              <w:pStyle w:val="24"/>
              <w:bidi w:val="0"/>
              <w:jc w:val="center"/>
              <w:rPr>
                <w:rFonts w:hint="default"/>
                <w:color w:val="auto"/>
              </w:rPr>
            </w:pPr>
            <w:r>
              <w:rPr>
                <w:rFonts w:hint="default"/>
                <w:color w:val="auto"/>
              </w:rPr>
              <w:t>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81" w:type="pct"/>
            <w:vMerge w:val="restart"/>
            <w:tcBorders>
              <w:bottom w:val="nil"/>
            </w:tcBorders>
            <w:noWrap w:val="0"/>
            <w:vAlign w:val="center"/>
          </w:tcPr>
          <w:p>
            <w:pPr>
              <w:pStyle w:val="24"/>
              <w:bidi w:val="0"/>
              <w:jc w:val="center"/>
              <w:rPr>
                <w:rFonts w:hint="default"/>
                <w:color w:val="auto"/>
              </w:rPr>
            </w:pPr>
            <w:r>
              <w:rPr>
                <w:rFonts w:hint="default"/>
                <w:color w:val="auto"/>
              </w:rPr>
              <w:t>0.8f</w:t>
            </w:r>
          </w:p>
        </w:tc>
        <w:tc>
          <w:tcPr>
            <w:tcW w:w="838" w:type="pct"/>
            <w:noWrap w:val="0"/>
            <w:vAlign w:val="center"/>
          </w:tcPr>
          <w:p>
            <w:pPr>
              <w:pStyle w:val="24"/>
              <w:bidi w:val="0"/>
              <w:jc w:val="center"/>
              <w:rPr>
                <w:rFonts w:hint="default"/>
                <w:color w:val="auto"/>
              </w:rPr>
            </w:pPr>
            <w:r>
              <w:rPr>
                <w:rFonts w:hint="default"/>
                <w:color w:val="auto"/>
              </w:rPr>
              <w:t>平面外</w:t>
            </w:r>
          </w:p>
        </w:tc>
        <w:tc>
          <w:tcPr>
            <w:tcW w:w="768" w:type="pct"/>
            <w:noWrap w:val="0"/>
            <w:vAlign w:val="center"/>
          </w:tcPr>
          <w:p>
            <w:pPr>
              <w:pStyle w:val="24"/>
              <w:bidi w:val="0"/>
              <w:jc w:val="center"/>
              <w:rPr>
                <w:rFonts w:hint="default"/>
                <w:color w:val="auto"/>
              </w:rPr>
            </w:pPr>
            <w:r>
              <w:rPr>
                <w:rFonts w:hint="default"/>
                <w:color w:val="auto"/>
              </w:rPr>
              <w:t>1/250</w:t>
            </w:r>
          </w:p>
        </w:tc>
        <w:tc>
          <w:tcPr>
            <w:tcW w:w="768" w:type="pct"/>
            <w:noWrap w:val="0"/>
            <w:vAlign w:val="center"/>
          </w:tcPr>
          <w:p>
            <w:pPr>
              <w:pStyle w:val="24"/>
              <w:bidi w:val="0"/>
              <w:jc w:val="center"/>
              <w:rPr>
                <w:rFonts w:hint="default"/>
                <w:color w:val="auto"/>
              </w:rPr>
            </w:pPr>
            <w:r>
              <w:rPr>
                <w:rFonts w:hint="default"/>
                <w:color w:val="auto"/>
              </w:rPr>
              <w:t>1/350</w:t>
            </w:r>
          </w:p>
        </w:tc>
        <w:tc>
          <w:tcPr>
            <w:tcW w:w="768" w:type="pct"/>
            <w:noWrap w:val="0"/>
            <w:vAlign w:val="center"/>
          </w:tcPr>
          <w:p>
            <w:pPr>
              <w:pStyle w:val="24"/>
              <w:bidi w:val="0"/>
              <w:jc w:val="center"/>
              <w:rPr>
                <w:rFonts w:hint="default"/>
                <w:color w:val="auto"/>
              </w:rPr>
            </w:pPr>
            <w:r>
              <w:rPr>
                <w:rFonts w:hint="default"/>
                <w:color w:val="auto"/>
              </w:rPr>
              <w:t>1/550</w:t>
            </w:r>
          </w:p>
        </w:tc>
        <w:tc>
          <w:tcPr>
            <w:tcW w:w="775" w:type="pct"/>
            <w:noWrap w:val="0"/>
            <w:vAlign w:val="center"/>
          </w:tcPr>
          <w:p>
            <w:pPr>
              <w:pStyle w:val="24"/>
              <w:bidi w:val="0"/>
              <w:jc w:val="center"/>
              <w:rPr>
                <w:rFonts w:hint="default"/>
                <w:color w:val="auto"/>
              </w:rPr>
            </w:pPr>
            <w:r>
              <w:rPr>
                <w:rFonts w:hint="default"/>
                <w:color w:val="auto"/>
              </w:rPr>
              <w:t>≤1/850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1081" w:type="pct"/>
            <w:vMerge w:val="continue"/>
            <w:tcBorders>
              <w:top w:val="nil"/>
            </w:tcBorders>
            <w:noWrap w:val="0"/>
            <w:vAlign w:val="center"/>
          </w:tcPr>
          <w:p>
            <w:pPr>
              <w:pStyle w:val="24"/>
              <w:bidi w:val="0"/>
              <w:jc w:val="center"/>
              <w:rPr>
                <w:rFonts w:hint="default"/>
                <w:color w:val="auto"/>
              </w:rPr>
            </w:pPr>
          </w:p>
        </w:tc>
        <w:tc>
          <w:tcPr>
            <w:tcW w:w="838" w:type="pct"/>
            <w:noWrap w:val="0"/>
            <w:vAlign w:val="center"/>
          </w:tcPr>
          <w:p>
            <w:pPr>
              <w:pStyle w:val="24"/>
              <w:bidi w:val="0"/>
              <w:jc w:val="center"/>
              <w:rPr>
                <w:rFonts w:hint="default"/>
                <w:color w:val="auto"/>
              </w:rPr>
            </w:pPr>
            <w:r>
              <w:rPr>
                <w:rFonts w:hint="default"/>
                <w:color w:val="auto"/>
              </w:rPr>
              <w:t>平面内</w:t>
            </w:r>
          </w:p>
        </w:tc>
        <w:tc>
          <w:tcPr>
            <w:tcW w:w="768" w:type="pct"/>
            <w:noWrap w:val="0"/>
            <w:vAlign w:val="center"/>
          </w:tcPr>
          <w:p>
            <w:pPr>
              <w:pStyle w:val="24"/>
              <w:bidi w:val="0"/>
              <w:jc w:val="center"/>
              <w:rPr>
                <w:rFonts w:hint="default"/>
                <w:color w:val="auto"/>
              </w:rPr>
            </w:pPr>
            <w:r>
              <w:rPr>
                <w:rFonts w:hint="default"/>
                <w:color w:val="auto"/>
              </w:rPr>
              <w:t>1/1000</w:t>
            </w:r>
          </w:p>
        </w:tc>
        <w:tc>
          <w:tcPr>
            <w:tcW w:w="768" w:type="pct"/>
            <w:noWrap w:val="0"/>
            <w:vAlign w:val="center"/>
          </w:tcPr>
          <w:p>
            <w:pPr>
              <w:pStyle w:val="24"/>
              <w:bidi w:val="0"/>
              <w:jc w:val="center"/>
              <w:rPr>
                <w:rFonts w:hint="default"/>
                <w:color w:val="auto"/>
              </w:rPr>
            </w:pPr>
            <w:r>
              <w:rPr>
                <w:rFonts w:hint="default"/>
                <w:color w:val="auto"/>
              </w:rPr>
              <w:t>1/500</w:t>
            </w:r>
          </w:p>
        </w:tc>
        <w:tc>
          <w:tcPr>
            <w:tcW w:w="768" w:type="pct"/>
            <w:noWrap w:val="0"/>
            <w:vAlign w:val="center"/>
          </w:tcPr>
          <w:p>
            <w:pPr>
              <w:pStyle w:val="24"/>
              <w:bidi w:val="0"/>
              <w:jc w:val="center"/>
              <w:rPr>
                <w:rFonts w:hint="default"/>
                <w:color w:val="auto"/>
              </w:rPr>
            </w:pPr>
            <w:r>
              <w:rPr>
                <w:rFonts w:hint="default"/>
                <w:color w:val="auto"/>
              </w:rPr>
              <w:t>1/400</w:t>
            </w:r>
          </w:p>
        </w:tc>
        <w:tc>
          <w:tcPr>
            <w:tcW w:w="775" w:type="pct"/>
            <w:noWrap w:val="0"/>
            <w:vAlign w:val="center"/>
          </w:tcPr>
          <w:p>
            <w:pPr>
              <w:pStyle w:val="24"/>
              <w:bidi w:val="0"/>
              <w:jc w:val="center"/>
              <w:rPr>
                <w:rFonts w:hint="default"/>
                <w:color w:val="auto"/>
              </w:rPr>
            </w:pPr>
            <w:r>
              <w:rPr>
                <w:rFonts w:hint="default"/>
                <w:color w:val="auto"/>
              </w:rPr>
              <w:t>1/350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081" w:type="pct"/>
            <w:vMerge w:val="restart"/>
            <w:tcBorders>
              <w:bottom w:val="nil"/>
            </w:tcBorders>
            <w:noWrap w:val="0"/>
            <w:vAlign w:val="center"/>
          </w:tcPr>
          <w:p>
            <w:pPr>
              <w:pStyle w:val="24"/>
              <w:bidi w:val="0"/>
              <w:jc w:val="center"/>
              <w:rPr>
                <w:rFonts w:hint="default"/>
                <w:color w:val="auto"/>
              </w:rPr>
            </w:pPr>
            <w:r>
              <w:rPr>
                <w:rFonts w:hint="default"/>
                <w:color w:val="auto"/>
              </w:rPr>
              <w:t>0.7f</w:t>
            </w:r>
          </w:p>
        </w:tc>
        <w:tc>
          <w:tcPr>
            <w:tcW w:w="838" w:type="pct"/>
            <w:noWrap w:val="0"/>
            <w:vAlign w:val="center"/>
          </w:tcPr>
          <w:p>
            <w:pPr>
              <w:pStyle w:val="24"/>
              <w:bidi w:val="0"/>
              <w:jc w:val="center"/>
              <w:rPr>
                <w:rFonts w:hint="default"/>
                <w:color w:val="auto"/>
              </w:rPr>
            </w:pPr>
            <w:r>
              <w:rPr>
                <w:rFonts w:hint="default"/>
                <w:color w:val="auto"/>
              </w:rPr>
              <w:t>平面外</w:t>
            </w:r>
          </w:p>
        </w:tc>
        <w:tc>
          <w:tcPr>
            <w:tcW w:w="768" w:type="pct"/>
            <w:noWrap w:val="0"/>
            <w:vAlign w:val="center"/>
          </w:tcPr>
          <w:p>
            <w:pPr>
              <w:pStyle w:val="24"/>
              <w:bidi w:val="0"/>
              <w:jc w:val="center"/>
              <w:rPr>
                <w:rFonts w:hint="default"/>
                <w:color w:val="auto"/>
              </w:rPr>
            </w:pPr>
            <w:r>
              <w:rPr>
                <w:rFonts w:hint="default"/>
                <w:color w:val="auto"/>
              </w:rPr>
              <w:t>1/200</w:t>
            </w:r>
          </w:p>
        </w:tc>
        <w:tc>
          <w:tcPr>
            <w:tcW w:w="768" w:type="pct"/>
            <w:noWrap w:val="0"/>
            <w:vAlign w:val="center"/>
          </w:tcPr>
          <w:p>
            <w:pPr>
              <w:pStyle w:val="24"/>
              <w:bidi w:val="0"/>
              <w:jc w:val="center"/>
              <w:rPr>
                <w:rFonts w:hint="default"/>
                <w:color w:val="auto"/>
              </w:rPr>
            </w:pPr>
            <w:r>
              <w:rPr>
                <w:rFonts w:hint="default"/>
                <w:color w:val="auto"/>
              </w:rPr>
              <w:t>1/250</w:t>
            </w:r>
          </w:p>
        </w:tc>
        <w:tc>
          <w:tcPr>
            <w:tcW w:w="768" w:type="pct"/>
            <w:noWrap w:val="0"/>
            <w:vAlign w:val="center"/>
          </w:tcPr>
          <w:p>
            <w:pPr>
              <w:pStyle w:val="24"/>
              <w:bidi w:val="0"/>
              <w:jc w:val="center"/>
              <w:rPr>
                <w:rFonts w:hint="default"/>
                <w:color w:val="auto"/>
              </w:rPr>
            </w:pPr>
            <w:r>
              <w:rPr>
                <w:rFonts w:hint="default"/>
                <w:color w:val="auto"/>
              </w:rPr>
              <w:t>1/300</w:t>
            </w:r>
          </w:p>
        </w:tc>
        <w:tc>
          <w:tcPr>
            <w:tcW w:w="775" w:type="pct"/>
            <w:noWrap w:val="0"/>
            <w:vAlign w:val="center"/>
          </w:tcPr>
          <w:p>
            <w:pPr>
              <w:pStyle w:val="24"/>
              <w:bidi w:val="0"/>
              <w:ind w:firstLine="0" w:firstLineChars="0"/>
              <w:jc w:val="center"/>
              <w:rPr>
                <w:rFonts w:hint="default"/>
                <w:color w:val="auto"/>
              </w:rPr>
            </w:pPr>
            <w:r>
              <w:rPr>
                <w:rFonts w:hint="eastAsia"/>
                <w:color w:val="auto"/>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81" w:type="pct"/>
            <w:vMerge w:val="continue"/>
            <w:tcBorders>
              <w:top w:val="nil"/>
            </w:tcBorders>
            <w:noWrap w:val="0"/>
            <w:vAlign w:val="center"/>
          </w:tcPr>
          <w:p>
            <w:pPr>
              <w:pStyle w:val="24"/>
              <w:bidi w:val="0"/>
              <w:jc w:val="center"/>
              <w:rPr>
                <w:rFonts w:hint="default"/>
                <w:color w:val="auto"/>
              </w:rPr>
            </w:pPr>
          </w:p>
        </w:tc>
        <w:tc>
          <w:tcPr>
            <w:tcW w:w="838" w:type="pct"/>
            <w:noWrap w:val="0"/>
            <w:vAlign w:val="center"/>
          </w:tcPr>
          <w:p>
            <w:pPr>
              <w:pStyle w:val="24"/>
              <w:bidi w:val="0"/>
              <w:jc w:val="center"/>
              <w:rPr>
                <w:rFonts w:hint="default"/>
                <w:color w:val="auto"/>
              </w:rPr>
            </w:pPr>
            <w:r>
              <w:rPr>
                <w:rFonts w:hint="default"/>
                <w:color w:val="auto"/>
              </w:rPr>
              <w:t>平面内</w:t>
            </w:r>
          </w:p>
        </w:tc>
        <w:tc>
          <w:tcPr>
            <w:tcW w:w="768" w:type="pct"/>
            <w:noWrap w:val="0"/>
            <w:vAlign w:val="center"/>
          </w:tcPr>
          <w:p>
            <w:pPr>
              <w:pStyle w:val="24"/>
              <w:bidi w:val="0"/>
              <w:jc w:val="center"/>
              <w:rPr>
                <w:rFonts w:hint="default"/>
                <w:color w:val="auto"/>
              </w:rPr>
            </w:pPr>
            <w:r>
              <w:rPr>
                <w:rFonts w:hint="default"/>
                <w:color w:val="auto"/>
              </w:rPr>
              <w:t>1/750</w:t>
            </w:r>
          </w:p>
        </w:tc>
        <w:tc>
          <w:tcPr>
            <w:tcW w:w="768" w:type="pct"/>
            <w:noWrap w:val="0"/>
            <w:vAlign w:val="center"/>
          </w:tcPr>
          <w:p>
            <w:pPr>
              <w:pStyle w:val="24"/>
              <w:bidi w:val="0"/>
              <w:jc w:val="center"/>
              <w:rPr>
                <w:rFonts w:hint="default"/>
                <w:color w:val="auto"/>
              </w:rPr>
            </w:pPr>
            <w:r>
              <w:rPr>
                <w:rFonts w:hint="default"/>
                <w:color w:val="auto"/>
              </w:rPr>
              <w:t>1/450</w:t>
            </w:r>
          </w:p>
        </w:tc>
        <w:tc>
          <w:tcPr>
            <w:tcW w:w="768" w:type="pct"/>
            <w:noWrap w:val="0"/>
            <w:vAlign w:val="center"/>
          </w:tcPr>
          <w:p>
            <w:pPr>
              <w:pStyle w:val="24"/>
              <w:bidi w:val="0"/>
              <w:jc w:val="center"/>
              <w:rPr>
                <w:rFonts w:hint="default"/>
                <w:color w:val="auto"/>
              </w:rPr>
            </w:pPr>
            <w:r>
              <w:rPr>
                <w:rFonts w:hint="default"/>
                <w:color w:val="auto"/>
              </w:rPr>
              <w:t>1/350</w:t>
            </w:r>
          </w:p>
        </w:tc>
        <w:tc>
          <w:tcPr>
            <w:tcW w:w="775" w:type="pct"/>
            <w:noWrap w:val="0"/>
            <w:vAlign w:val="center"/>
          </w:tcPr>
          <w:p>
            <w:pPr>
              <w:pStyle w:val="24"/>
              <w:bidi w:val="0"/>
              <w:ind w:firstLine="0" w:firstLineChars="0"/>
              <w:jc w:val="center"/>
              <w:rPr>
                <w:rFonts w:hint="default"/>
                <w:color w:val="auto"/>
              </w:rPr>
            </w:pPr>
            <w:r>
              <w:rPr>
                <w:rFonts w:hint="eastAsia"/>
                <w:color w:val="auto"/>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1081" w:type="pct"/>
            <w:vMerge w:val="restart"/>
            <w:tcBorders>
              <w:bottom w:val="nil"/>
            </w:tcBorders>
            <w:noWrap w:val="0"/>
            <w:vAlign w:val="center"/>
          </w:tcPr>
          <w:p>
            <w:pPr>
              <w:pStyle w:val="24"/>
              <w:bidi w:val="0"/>
              <w:jc w:val="center"/>
              <w:rPr>
                <w:rFonts w:hint="default"/>
                <w:color w:val="auto"/>
              </w:rPr>
            </w:pPr>
            <w:r>
              <w:rPr>
                <w:rFonts w:hint="default"/>
                <w:color w:val="auto"/>
              </w:rPr>
              <w:t>≤0.6f</w:t>
            </w:r>
          </w:p>
        </w:tc>
        <w:tc>
          <w:tcPr>
            <w:tcW w:w="838" w:type="pct"/>
            <w:noWrap w:val="0"/>
            <w:vAlign w:val="center"/>
          </w:tcPr>
          <w:p>
            <w:pPr>
              <w:pStyle w:val="24"/>
              <w:bidi w:val="0"/>
              <w:jc w:val="center"/>
              <w:rPr>
                <w:rFonts w:hint="default"/>
                <w:color w:val="auto"/>
              </w:rPr>
            </w:pPr>
            <w:r>
              <w:rPr>
                <w:rFonts w:hint="default"/>
                <w:color w:val="auto"/>
              </w:rPr>
              <w:t>平面外</w:t>
            </w:r>
          </w:p>
        </w:tc>
        <w:tc>
          <w:tcPr>
            <w:tcW w:w="768" w:type="pct"/>
            <w:noWrap w:val="0"/>
            <w:vAlign w:val="center"/>
          </w:tcPr>
          <w:p>
            <w:pPr>
              <w:pStyle w:val="24"/>
              <w:bidi w:val="0"/>
              <w:jc w:val="center"/>
              <w:rPr>
                <w:rFonts w:hint="default"/>
                <w:color w:val="auto"/>
              </w:rPr>
            </w:pPr>
            <w:r>
              <w:rPr>
                <w:rFonts w:hint="default"/>
                <w:color w:val="auto"/>
              </w:rPr>
              <w:t>1/150</w:t>
            </w:r>
          </w:p>
        </w:tc>
        <w:tc>
          <w:tcPr>
            <w:tcW w:w="768" w:type="pct"/>
            <w:noWrap w:val="0"/>
            <w:vAlign w:val="center"/>
          </w:tcPr>
          <w:p>
            <w:pPr>
              <w:pStyle w:val="24"/>
              <w:bidi w:val="0"/>
              <w:jc w:val="center"/>
              <w:rPr>
                <w:rFonts w:hint="default"/>
                <w:color w:val="auto"/>
              </w:rPr>
            </w:pPr>
            <w:r>
              <w:rPr>
                <w:rFonts w:hint="default"/>
                <w:color w:val="auto"/>
              </w:rPr>
              <w:t>≤1/200</w:t>
            </w:r>
          </w:p>
        </w:tc>
        <w:tc>
          <w:tcPr>
            <w:tcW w:w="768" w:type="pct"/>
            <w:noWrap w:val="0"/>
            <w:vAlign w:val="center"/>
          </w:tcPr>
          <w:p>
            <w:pPr>
              <w:pStyle w:val="24"/>
              <w:bidi w:val="0"/>
              <w:ind w:firstLine="0" w:firstLineChars="0"/>
              <w:jc w:val="center"/>
              <w:rPr>
                <w:rFonts w:hint="default"/>
                <w:color w:val="auto"/>
              </w:rPr>
            </w:pPr>
            <w:r>
              <w:rPr>
                <w:rFonts w:hint="eastAsia"/>
                <w:color w:val="auto"/>
                <w:lang w:val="en-US" w:eastAsia="zh-CN"/>
              </w:rPr>
              <w:t>/</w:t>
            </w:r>
          </w:p>
        </w:tc>
        <w:tc>
          <w:tcPr>
            <w:tcW w:w="775" w:type="pct"/>
            <w:noWrap w:val="0"/>
            <w:vAlign w:val="center"/>
          </w:tcPr>
          <w:p>
            <w:pPr>
              <w:pStyle w:val="24"/>
              <w:bidi w:val="0"/>
              <w:ind w:firstLine="0" w:firstLineChars="0"/>
              <w:jc w:val="center"/>
              <w:rPr>
                <w:rFonts w:hint="default"/>
                <w:color w:val="auto"/>
              </w:rPr>
            </w:pPr>
            <w:r>
              <w:rPr>
                <w:rFonts w:hint="eastAsia"/>
                <w:color w:val="auto"/>
                <w:lang w:val="en-US" w:eastAsia="zh-CN"/>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4" w:hRule="atLeast"/>
        </w:trPr>
        <w:tc>
          <w:tcPr>
            <w:tcW w:w="1081" w:type="pct"/>
            <w:vMerge w:val="continue"/>
            <w:tcBorders>
              <w:top w:val="nil"/>
            </w:tcBorders>
            <w:noWrap w:val="0"/>
            <w:vAlign w:val="center"/>
          </w:tcPr>
          <w:p>
            <w:pPr>
              <w:pStyle w:val="24"/>
              <w:bidi w:val="0"/>
              <w:jc w:val="center"/>
              <w:rPr>
                <w:rFonts w:hint="default"/>
                <w:color w:val="auto"/>
              </w:rPr>
            </w:pPr>
          </w:p>
        </w:tc>
        <w:tc>
          <w:tcPr>
            <w:tcW w:w="838" w:type="pct"/>
            <w:noWrap w:val="0"/>
            <w:vAlign w:val="center"/>
          </w:tcPr>
          <w:p>
            <w:pPr>
              <w:pStyle w:val="24"/>
              <w:bidi w:val="0"/>
              <w:jc w:val="center"/>
              <w:rPr>
                <w:rFonts w:hint="default"/>
                <w:color w:val="auto"/>
              </w:rPr>
            </w:pPr>
            <w:r>
              <w:rPr>
                <w:rFonts w:hint="default"/>
                <w:color w:val="auto"/>
              </w:rPr>
              <w:t>平面内</w:t>
            </w:r>
          </w:p>
        </w:tc>
        <w:tc>
          <w:tcPr>
            <w:tcW w:w="768" w:type="pct"/>
            <w:noWrap w:val="0"/>
            <w:vAlign w:val="center"/>
          </w:tcPr>
          <w:p>
            <w:pPr>
              <w:pStyle w:val="24"/>
              <w:bidi w:val="0"/>
              <w:jc w:val="center"/>
              <w:rPr>
                <w:rFonts w:hint="default"/>
                <w:color w:val="auto"/>
              </w:rPr>
            </w:pPr>
            <w:r>
              <w:rPr>
                <w:rFonts w:hint="default"/>
                <w:color w:val="auto"/>
              </w:rPr>
              <w:t>1/400</w:t>
            </w:r>
          </w:p>
        </w:tc>
        <w:tc>
          <w:tcPr>
            <w:tcW w:w="768" w:type="pct"/>
            <w:noWrap w:val="0"/>
            <w:vAlign w:val="center"/>
          </w:tcPr>
          <w:p>
            <w:pPr>
              <w:pStyle w:val="24"/>
              <w:bidi w:val="0"/>
              <w:jc w:val="center"/>
              <w:rPr>
                <w:rFonts w:hint="default"/>
                <w:color w:val="auto"/>
              </w:rPr>
            </w:pPr>
            <w:r>
              <w:rPr>
                <w:rFonts w:hint="default"/>
                <w:color w:val="auto"/>
              </w:rPr>
              <w:t>1/350</w:t>
            </w:r>
          </w:p>
        </w:tc>
        <w:tc>
          <w:tcPr>
            <w:tcW w:w="768" w:type="pct"/>
            <w:noWrap w:val="0"/>
            <w:vAlign w:val="center"/>
          </w:tcPr>
          <w:p>
            <w:pPr>
              <w:pStyle w:val="24"/>
              <w:bidi w:val="0"/>
              <w:ind w:firstLine="0" w:firstLineChars="0"/>
              <w:jc w:val="center"/>
              <w:rPr>
                <w:rFonts w:hint="default"/>
                <w:color w:val="auto"/>
              </w:rPr>
            </w:pPr>
            <w:r>
              <w:rPr>
                <w:rFonts w:hint="eastAsia"/>
                <w:color w:val="auto"/>
                <w:lang w:val="en-US" w:eastAsia="zh-CN"/>
              </w:rPr>
              <w:t>/</w:t>
            </w:r>
          </w:p>
        </w:tc>
        <w:tc>
          <w:tcPr>
            <w:tcW w:w="775" w:type="pct"/>
            <w:noWrap w:val="0"/>
            <w:vAlign w:val="center"/>
          </w:tcPr>
          <w:p>
            <w:pPr>
              <w:pStyle w:val="24"/>
              <w:bidi w:val="0"/>
              <w:ind w:firstLine="0" w:firstLineChars="0"/>
              <w:jc w:val="center"/>
              <w:rPr>
                <w:rFonts w:hint="default"/>
                <w:color w:val="auto"/>
              </w:rPr>
            </w:pPr>
            <w:r>
              <w:rPr>
                <w:rFonts w:hint="eastAsia"/>
                <w:color w:val="auto"/>
                <w:lang w:val="en-US" w:eastAsia="zh-CN"/>
              </w:rPr>
              <w:t>/</w:t>
            </w:r>
          </w:p>
        </w:tc>
      </w:tr>
    </w:tbl>
    <w:p>
      <w:pPr>
        <w:pStyle w:val="5"/>
        <w:bidi w:val="0"/>
        <w:ind w:left="0" w:leftChars="0" w:firstLine="0" w:firstLineChars="0"/>
        <w:rPr>
          <w:color w:val="auto"/>
        </w:rPr>
      </w:pPr>
      <w:r>
        <w:rPr>
          <w:color w:val="auto"/>
        </w:rPr>
        <w:t>钢结构构件的安全性</w:t>
      </w:r>
      <w:r>
        <w:rPr>
          <w:rFonts w:hint="eastAsia"/>
          <w:color w:val="auto"/>
          <w:lang w:val="en-US" w:eastAsia="zh-CN"/>
        </w:rPr>
        <w:t>按截面损伤</w:t>
      </w:r>
      <w:r>
        <w:rPr>
          <w:rFonts w:hint="eastAsia"/>
          <w:color w:val="auto"/>
          <w:lang w:eastAsia="zh-CN"/>
        </w:rPr>
        <w:t>评级</w:t>
      </w:r>
      <w:r>
        <w:rPr>
          <w:color w:val="auto"/>
        </w:rPr>
        <w:t>，</w:t>
      </w:r>
      <w:r>
        <w:rPr>
          <w:rFonts w:hint="eastAsia"/>
          <w:color w:val="auto"/>
          <w:lang w:val="en-US" w:eastAsia="zh-CN"/>
        </w:rPr>
        <w:t>应根据剩余的完好截面面积，考虑偏心效应，按验算项目评级；构件</w:t>
      </w:r>
      <w:r>
        <w:rPr>
          <w:rFonts w:hint="default"/>
          <w:color w:val="auto"/>
        </w:rPr>
        <w:t>主要受力部位截面</w:t>
      </w:r>
      <w:r>
        <w:rPr>
          <w:rFonts w:hint="eastAsia"/>
          <w:color w:val="auto"/>
          <w:lang w:val="en-US" w:eastAsia="zh-CN"/>
        </w:rPr>
        <w:t>损伤</w:t>
      </w:r>
      <w:r>
        <w:rPr>
          <w:rFonts w:hint="default"/>
          <w:color w:val="auto"/>
        </w:rPr>
        <w:t>深度大于</w:t>
      </w:r>
      <w:r>
        <w:rPr>
          <w:rFonts w:hint="eastAsia"/>
          <w:color w:val="auto"/>
          <w:lang w:val="en-US" w:eastAsia="zh-CN"/>
        </w:rPr>
        <w:t>钢材厚度的1/10时，评级不高于b</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5"/>
        <w:bidi w:val="0"/>
        <w:ind w:left="0" w:leftChars="0" w:firstLine="0" w:firstLineChars="0"/>
        <w:rPr>
          <w:rFonts w:hint="eastAsia"/>
          <w:color w:val="auto"/>
          <w:lang w:val="en-US" w:eastAsia="zh-CN"/>
        </w:rPr>
      </w:pPr>
      <w:r>
        <w:rPr>
          <w:rFonts w:hint="eastAsia"/>
          <w:color w:val="auto"/>
          <w:lang w:val="en-US" w:eastAsia="zh-CN"/>
        </w:rPr>
        <w:t>对摩擦型高强度螺栓连接，当其摩擦面有翘曲，未能形成闭合面时，应直接定为c</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5"/>
        <w:bidi w:val="0"/>
        <w:ind w:left="0" w:leftChars="0" w:firstLine="0" w:firstLineChars="0"/>
        <w:rPr>
          <w:rFonts w:hint="eastAsia"/>
          <w:color w:val="auto"/>
          <w:lang w:val="en-US" w:eastAsia="zh-CN"/>
        </w:rPr>
      </w:pPr>
      <w:bookmarkStart w:id="85" w:name="_Ref15948"/>
      <w:r>
        <w:rPr>
          <w:rFonts w:hint="eastAsia"/>
          <w:color w:val="auto"/>
          <w:lang w:val="en-US" w:eastAsia="zh-CN"/>
        </w:rPr>
        <w:t>钢结构构件的安全性按验算项目评级，应按表</w:t>
      </w:r>
      <w:r>
        <w:rPr>
          <w:rFonts w:hint="eastAsia"/>
          <w:color w:val="auto"/>
          <w:lang w:val="en-US" w:eastAsia="zh-CN"/>
        </w:rPr>
        <w:fldChar w:fldCharType="begin"/>
      </w:r>
      <w:r>
        <w:rPr>
          <w:rFonts w:hint="eastAsia"/>
          <w:color w:val="auto"/>
          <w:lang w:val="en-US" w:eastAsia="zh-CN"/>
        </w:rPr>
        <w:instrText xml:space="preserve"> REF _Ref15948 \n \h </w:instrText>
      </w:r>
      <w:r>
        <w:rPr>
          <w:rFonts w:hint="eastAsia"/>
          <w:color w:val="auto"/>
          <w:lang w:val="en-US" w:eastAsia="zh-CN"/>
        </w:rPr>
        <w:fldChar w:fldCharType="separate"/>
      </w:r>
      <w:r>
        <w:rPr>
          <w:rFonts w:hint="eastAsia"/>
          <w:color w:val="auto"/>
          <w:lang w:val="en-US" w:eastAsia="zh-CN"/>
        </w:rPr>
        <w:t>7.4.16</w:t>
      </w:r>
      <w:r>
        <w:rPr>
          <w:rFonts w:hint="eastAsia"/>
          <w:color w:val="auto"/>
          <w:lang w:val="en-US" w:eastAsia="zh-CN"/>
        </w:rPr>
        <w:fldChar w:fldCharType="end"/>
      </w:r>
      <w:r>
        <w:rPr>
          <w:rFonts w:hint="eastAsia"/>
          <w:color w:val="auto"/>
          <w:lang w:val="en-US" w:eastAsia="zh-CN"/>
        </w:rPr>
        <w:t>的规定分别对每一验算项目评级，并应取其中最低等级作为其安全性等级。钢结构承载力、倾覆、滑移、疲劳、脆断的验算，应按国家现行相关规范的规定进行；节点、连接域的验算应包括其板件和连接的验算。</w:t>
      </w:r>
      <w:bookmarkEnd w:id="85"/>
    </w:p>
    <w:p>
      <w:pPr>
        <w:pStyle w:val="25"/>
        <w:bidi w:val="0"/>
        <w:rPr>
          <w:rFonts w:hint="eastAsia"/>
          <w:color w:val="auto"/>
        </w:rPr>
      </w:pPr>
      <w:r>
        <w:rPr>
          <w:rFonts w:hint="eastAsia"/>
          <w:color w:val="auto"/>
        </w:rPr>
        <w:t>表</w:t>
      </w:r>
      <w:r>
        <w:rPr>
          <w:rFonts w:hint="eastAsia"/>
          <w:color w:val="auto"/>
          <w:lang w:val="en-US" w:eastAsia="zh-CN"/>
        </w:rPr>
        <w:fldChar w:fldCharType="begin"/>
      </w:r>
      <w:r>
        <w:rPr>
          <w:rFonts w:hint="eastAsia"/>
          <w:color w:val="auto"/>
          <w:lang w:val="en-US" w:eastAsia="zh-CN"/>
        </w:rPr>
        <w:instrText xml:space="preserve"> REF _Ref15948 \n \h </w:instrText>
      </w:r>
      <w:r>
        <w:rPr>
          <w:rFonts w:hint="eastAsia"/>
          <w:color w:val="auto"/>
          <w:lang w:val="en-US" w:eastAsia="zh-CN"/>
        </w:rPr>
        <w:fldChar w:fldCharType="separate"/>
      </w:r>
      <w:r>
        <w:rPr>
          <w:rFonts w:hint="eastAsia"/>
          <w:color w:val="auto"/>
          <w:lang w:val="en-US" w:eastAsia="zh-CN"/>
        </w:rPr>
        <w:t>7.4.16</w:t>
      </w:r>
      <w:r>
        <w:rPr>
          <w:rFonts w:hint="eastAsia"/>
          <w:color w:val="auto"/>
          <w:lang w:val="en-US" w:eastAsia="zh-CN"/>
        </w:rPr>
        <w:fldChar w:fldCharType="end"/>
      </w:r>
      <w:r>
        <w:rPr>
          <w:rFonts w:hint="eastAsia"/>
          <w:color w:val="auto"/>
        </w:rPr>
        <w:t xml:space="preserve"> </w:t>
      </w:r>
      <w:r>
        <w:rPr>
          <w:rFonts w:hint="eastAsia"/>
          <w:color w:val="auto"/>
          <w:lang w:eastAsia="zh-CN"/>
        </w:rPr>
        <w:t>按验算项目评级</w:t>
      </w:r>
      <w:r>
        <w:rPr>
          <w:rFonts w:hint="eastAsia"/>
          <w:color w:val="auto"/>
        </w:rPr>
        <w:t>的钢结构构件安全性等级</w:t>
      </w:r>
    </w:p>
    <w:tbl>
      <w:tblPr>
        <w:tblStyle w:val="2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061"/>
        <w:gridCol w:w="2091"/>
        <w:gridCol w:w="2091"/>
        <w:gridCol w:w="20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1240" w:type="pct"/>
            <w:vMerge w:val="restart"/>
            <w:tcBorders>
              <w:bottom w:val="nil"/>
            </w:tcBorders>
            <w:vAlign w:val="top"/>
          </w:tcPr>
          <w:p>
            <w:pPr>
              <w:pStyle w:val="24"/>
              <w:bidi w:val="0"/>
              <w:rPr>
                <w:color w:val="auto"/>
              </w:rPr>
            </w:pPr>
            <w:r>
              <w:rPr>
                <w:color w:val="auto"/>
              </w:rPr>
              <w:t>构件类别</w:t>
            </w:r>
          </w:p>
        </w:tc>
        <w:tc>
          <w:tcPr>
            <w:tcW w:w="3759" w:type="pct"/>
            <w:gridSpan w:val="3"/>
            <w:tcBorders>
              <w:right w:val="single" w:color="auto" w:sz="4" w:space="0"/>
            </w:tcBorders>
            <w:vAlign w:val="top"/>
          </w:tcPr>
          <w:p>
            <w:pPr>
              <w:pStyle w:val="24"/>
              <w:bidi w:val="0"/>
              <w:jc w:val="center"/>
              <w:rPr>
                <w:color w:val="auto"/>
              </w:rPr>
            </w:pPr>
            <w:r>
              <w:rPr>
                <w:color w:val="auto"/>
              </w:rPr>
              <w:t>安全性等级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240" w:type="pct"/>
            <w:vMerge w:val="continue"/>
            <w:tcBorders>
              <w:top w:val="nil"/>
            </w:tcBorders>
            <w:vAlign w:val="top"/>
          </w:tcPr>
          <w:p>
            <w:pPr>
              <w:pStyle w:val="24"/>
              <w:bidi w:val="0"/>
              <w:rPr>
                <w:color w:val="auto"/>
              </w:rPr>
            </w:pPr>
          </w:p>
        </w:tc>
        <w:tc>
          <w:tcPr>
            <w:tcW w:w="1257" w:type="pct"/>
            <w:vAlign w:val="top"/>
          </w:tcPr>
          <w:p>
            <w:pPr>
              <w:pStyle w:val="24"/>
              <w:bidi w:val="0"/>
              <w:rPr>
                <w:color w:val="auto"/>
              </w:rPr>
            </w:pPr>
            <w:r>
              <w:rPr>
                <w:color w:val="auto"/>
              </w:rPr>
              <w:t>a</w:t>
            </w:r>
            <w:r>
              <w:rPr>
                <w:rFonts w:hint="eastAsia" w:hAnsi="Cambria Math" w:cs="宋体"/>
                <w:color w:val="auto"/>
                <w:kern w:val="0"/>
                <w:sz w:val="24"/>
                <w:szCs w:val="24"/>
                <w:vertAlign w:val="subscript"/>
                <w:lang w:val="en-US" w:eastAsia="zh-CN" w:bidi="ar"/>
              </w:rPr>
              <w:t>u</w:t>
            </w:r>
            <w:r>
              <w:rPr>
                <w:color w:val="auto"/>
              </w:rPr>
              <w:t>级</w:t>
            </w:r>
          </w:p>
        </w:tc>
        <w:tc>
          <w:tcPr>
            <w:tcW w:w="1257" w:type="pct"/>
            <w:vAlign w:val="top"/>
          </w:tcPr>
          <w:p>
            <w:pPr>
              <w:pStyle w:val="24"/>
              <w:bidi w:val="0"/>
              <w:rPr>
                <w:color w:val="auto"/>
              </w:rPr>
            </w:pPr>
            <w:r>
              <w:rPr>
                <w:color w:val="auto"/>
              </w:rPr>
              <w:t>b</w:t>
            </w:r>
            <w:r>
              <w:rPr>
                <w:rFonts w:hint="eastAsia" w:hAnsi="Cambria Math" w:cs="宋体"/>
                <w:color w:val="auto"/>
                <w:kern w:val="0"/>
                <w:sz w:val="24"/>
                <w:szCs w:val="24"/>
                <w:vertAlign w:val="subscript"/>
                <w:lang w:val="en-US" w:eastAsia="zh-CN" w:bidi="ar"/>
              </w:rPr>
              <w:t>u</w:t>
            </w:r>
            <w:r>
              <w:rPr>
                <w:color w:val="auto"/>
              </w:rPr>
              <w:t>级</w:t>
            </w:r>
          </w:p>
        </w:tc>
        <w:tc>
          <w:tcPr>
            <w:tcW w:w="1245" w:type="pct"/>
            <w:vAlign w:val="top"/>
          </w:tcPr>
          <w:p>
            <w:pPr>
              <w:pStyle w:val="24"/>
              <w:bidi w:val="0"/>
              <w:rPr>
                <w:color w:val="auto"/>
              </w:rPr>
            </w:pPr>
            <w:r>
              <w:rPr>
                <w:color w:val="auto"/>
              </w:rPr>
              <w:t>c</w:t>
            </w:r>
            <w:r>
              <w:rPr>
                <w:rFonts w:hint="eastAsia" w:hAnsi="Cambria Math" w:cs="宋体"/>
                <w:color w:val="auto"/>
                <w:kern w:val="0"/>
                <w:sz w:val="24"/>
                <w:szCs w:val="24"/>
                <w:vertAlign w:val="subscript"/>
                <w:lang w:val="en-US" w:eastAsia="zh-CN" w:bidi="ar"/>
              </w:rPr>
              <w:t>u</w:t>
            </w:r>
            <w:r>
              <w:rPr>
                <w:color w:val="auto"/>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240" w:type="pct"/>
            <w:vAlign w:val="top"/>
          </w:tcPr>
          <w:p>
            <w:pPr>
              <w:pStyle w:val="24"/>
              <w:bidi w:val="0"/>
              <w:rPr>
                <w:color w:val="auto"/>
              </w:rPr>
            </w:pPr>
            <w:r>
              <w:rPr>
                <w:color w:val="auto"/>
              </w:rPr>
              <w:t>主要构件及</w:t>
            </w:r>
          </w:p>
          <w:p>
            <w:pPr>
              <w:pStyle w:val="24"/>
              <w:bidi w:val="0"/>
              <w:rPr>
                <w:color w:val="auto"/>
              </w:rPr>
            </w:pPr>
            <w:r>
              <w:rPr>
                <w:color w:val="auto"/>
              </w:rPr>
              <w:t>节点、连接域</w:t>
            </w:r>
          </w:p>
        </w:tc>
        <w:tc>
          <w:tcPr>
            <w:tcW w:w="1257" w:type="pct"/>
            <w:vAlign w:val="center"/>
          </w:tcPr>
          <w:p>
            <w:pPr>
              <w:pStyle w:val="24"/>
              <w:bidi w:val="0"/>
              <w:jc w:val="center"/>
              <w:rPr>
                <w:color w:val="auto"/>
                <w:highlight w:val="none"/>
              </w:rPr>
            </w:pPr>
            <w:r>
              <w:rPr>
                <w:color w:val="auto"/>
                <w:highlight w:val="none"/>
              </w:rPr>
              <w:t>R/(γ₀S)≥ 1.00</w:t>
            </w:r>
          </w:p>
        </w:tc>
        <w:tc>
          <w:tcPr>
            <w:tcW w:w="1257" w:type="pct"/>
            <w:vAlign w:val="center"/>
          </w:tcPr>
          <w:p>
            <w:pPr>
              <w:pStyle w:val="24"/>
              <w:bidi w:val="0"/>
              <w:jc w:val="center"/>
              <w:rPr>
                <w:color w:val="auto"/>
                <w:highlight w:val="none"/>
              </w:rPr>
            </w:pPr>
            <w:r>
              <w:rPr>
                <w:rFonts w:hint="eastAsia"/>
                <w:color w:val="auto"/>
                <w:highlight w:val="none"/>
                <w:lang w:val="en-US" w:eastAsia="zh-CN"/>
              </w:rPr>
              <w:t>1.0&gt;</w:t>
            </w:r>
            <w:r>
              <w:rPr>
                <w:color w:val="auto"/>
                <w:highlight w:val="none"/>
              </w:rPr>
              <w:t>R/(γ₀S)≥ 0.95</w:t>
            </w:r>
          </w:p>
        </w:tc>
        <w:tc>
          <w:tcPr>
            <w:tcW w:w="1245" w:type="pct"/>
            <w:vAlign w:val="center"/>
          </w:tcPr>
          <w:p>
            <w:pPr>
              <w:pStyle w:val="24"/>
              <w:bidi w:val="0"/>
              <w:jc w:val="center"/>
              <w:rPr>
                <w:rFonts w:hint="eastAsia" w:eastAsia="宋体"/>
                <w:color w:val="auto"/>
                <w:highlight w:val="none"/>
                <w:lang w:val="en-US" w:eastAsia="zh-CN"/>
              </w:rPr>
            </w:pPr>
            <w:r>
              <w:rPr>
                <w:color w:val="auto"/>
                <w:highlight w:val="none"/>
              </w:rPr>
              <w:t>R/(γ₀S)</w:t>
            </w:r>
            <w:r>
              <w:rPr>
                <w:rFonts w:hint="eastAsia"/>
                <w:color w:val="auto"/>
                <w:highlight w:val="none"/>
                <w:lang w:val="en-US" w:eastAsia="zh-CN"/>
              </w:rPr>
              <w:t>＜</w:t>
            </w:r>
            <w:r>
              <w:rPr>
                <w:color w:val="auto"/>
                <w:highlight w:val="none"/>
              </w:rPr>
              <w:t>0.9</w:t>
            </w:r>
            <w:r>
              <w:rPr>
                <w:rFonts w:hint="eastAsia"/>
                <w:color w:val="auto"/>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1" w:hRule="atLeast"/>
        </w:trPr>
        <w:tc>
          <w:tcPr>
            <w:tcW w:w="1240" w:type="pct"/>
            <w:vAlign w:val="top"/>
          </w:tcPr>
          <w:p>
            <w:pPr>
              <w:pStyle w:val="24"/>
              <w:bidi w:val="0"/>
              <w:rPr>
                <w:color w:val="auto"/>
              </w:rPr>
            </w:pPr>
            <w:r>
              <w:rPr>
                <w:color w:val="auto"/>
              </w:rPr>
              <w:t>一般构件</w:t>
            </w:r>
          </w:p>
        </w:tc>
        <w:tc>
          <w:tcPr>
            <w:tcW w:w="1257" w:type="pct"/>
            <w:vAlign w:val="center"/>
          </w:tcPr>
          <w:p>
            <w:pPr>
              <w:pStyle w:val="24"/>
              <w:bidi w:val="0"/>
              <w:jc w:val="center"/>
              <w:rPr>
                <w:color w:val="auto"/>
                <w:highlight w:val="none"/>
              </w:rPr>
            </w:pPr>
            <w:r>
              <w:rPr>
                <w:color w:val="auto"/>
                <w:highlight w:val="none"/>
              </w:rPr>
              <w:t>R/(γ₀S)≥ 1.00</w:t>
            </w:r>
          </w:p>
        </w:tc>
        <w:tc>
          <w:tcPr>
            <w:tcW w:w="1257" w:type="pct"/>
            <w:vAlign w:val="center"/>
          </w:tcPr>
          <w:p>
            <w:pPr>
              <w:pStyle w:val="24"/>
              <w:bidi w:val="0"/>
              <w:jc w:val="center"/>
              <w:rPr>
                <w:color w:val="auto"/>
                <w:highlight w:val="none"/>
              </w:rPr>
            </w:pPr>
            <w:r>
              <w:rPr>
                <w:rFonts w:hint="eastAsia"/>
                <w:color w:val="auto"/>
                <w:highlight w:val="none"/>
                <w:lang w:val="en-US" w:eastAsia="zh-CN"/>
              </w:rPr>
              <w:t>1.0&gt;</w:t>
            </w:r>
            <w:r>
              <w:rPr>
                <w:color w:val="auto"/>
                <w:highlight w:val="none"/>
              </w:rPr>
              <w:t>R/(γ₀S)≥ 0.90</w:t>
            </w:r>
          </w:p>
        </w:tc>
        <w:tc>
          <w:tcPr>
            <w:tcW w:w="1245" w:type="pct"/>
            <w:vAlign w:val="center"/>
          </w:tcPr>
          <w:p>
            <w:pPr>
              <w:pStyle w:val="24"/>
              <w:bidi w:val="0"/>
              <w:jc w:val="center"/>
              <w:rPr>
                <w:rFonts w:hint="default"/>
                <w:color w:val="auto"/>
                <w:highlight w:val="none"/>
                <w:lang w:val="en-US"/>
              </w:rPr>
            </w:pPr>
            <w:r>
              <w:rPr>
                <w:color w:val="auto"/>
                <w:highlight w:val="none"/>
              </w:rPr>
              <w:t>R/(γ₀S)</w:t>
            </w:r>
            <w:r>
              <w:rPr>
                <w:rFonts w:hint="eastAsia"/>
                <w:color w:val="auto"/>
                <w:highlight w:val="none"/>
                <w:lang w:val="en-US" w:eastAsia="zh-CN"/>
              </w:rPr>
              <w:t>＜0.90</w:t>
            </w:r>
          </w:p>
        </w:tc>
      </w:tr>
    </w:tbl>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【条文说明】对</w:t>
      </w:r>
      <w:r>
        <w:rPr>
          <w:rFonts w:hint="eastAsia"/>
          <w:color w:val="auto"/>
          <w:lang w:val="en-US" w:eastAsia="zh-CN"/>
        </w:rPr>
        <w:t>既有</w:t>
      </w:r>
      <w:r>
        <w:rPr>
          <w:rFonts w:hint="eastAsia" w:ascii="Times New Roman" w:hAnsi="Times New Roman"/>
          <w:color w:val="auto"/>
          <w:lang w:val="en-US" w:eastAsia="zh-CN"/>
        </w:rPr>
        <w:t>钢结构建筑的承载力验算，在确定其抗力时，除应考虑材料性能和结构构件的实际情况外，尚应充分考虑缺陷、损伤、腐蚀、施工偏差和过大变形等因素的影响。因为钢结构对这些因素的作用很敏感，而原设计所针对的待建结构，是不考虑这些因素的。</w:t>
      </w:r>
    </w:p>
    <w:p>
      <w:pPr>
        <w:pStyle w:val="5"/>
        <w:bidi w:val="0"/>
        <w:ind w:left="0" w:leftChars="0" w:firstLine="0" w:firstLineChars="0"/>
        <w:rPr>
          <w:rFonts w:hint="default"/>
          <w:color w:val="auto"/>
          <w:lang w:val="en-US" w:eastAsia="zh-CN"/>
        </w:rPr>
      </w:pPr>
      <w:r>
        <w:rPr>
          <w:rFonts w:hint="eastAsia"/>
          <w:color w:val="auto"/>
          <w:lang w:val="en-US" w:eastAsia="zh-CN"/>
        </w:rPr>
        <w:t>钢结构楼层和构件系统鉴定，应符合本导则第7.2节的有关规定。</w:t>
      </w:r>
    </w:p>
    <w:p>
      <w:pPr>
        <w:pStyle w:val="3"/>
        <w:bidi w:val="0"/>
        <w:ind w:left="0" w:leftChars="0" w:firstLine="0" w:firstLineChars="0"/>
        <w:rPr>
          <w:rFonts w:hint="default"/>
          <w:color w:val="auto"/>
          <w:lang w:val="en-US" w:eastAsia="zh-CN"/>
        </w:rPr>
      </w:pPr>
      <w:bookmarkStart w:id="86" w:name="_Toc19266"/>
      <w:bookmarkStart w:id="87" w:name="_Toc1649"/>
      <w:r>
        <w:rPr>
          <w:rFonts w:hint="eastAsia"/>
          <w:color w:val="auto"/>
          <w:lang w:val="en-US" w:eastAsia="zh-CN"/>
        </w:rPr>
        <w:t>木结构</w:t>
      </w:r>
      <w:bookmarkEnd w:id="86"/>
      <w:bookmarkEnd w:id="87"/>
    </w:p>
    <w:p>
      <w:pPr>
        <w:pStyle w:val="5"/>
        <w:bidi w:val="0"/>
        <w:ind w:left="0" w:leftChars="0" w:firstLine="0" w:firstLineChars="0"/>
        <w:rPr>
          <w:rFonts w:hint="default"/>
          <w:color w:val="auto"/>
          <w:lang w:val="en-US" w:eastAsia="zh-CN"/>
        </w:rPr>
      </w:pPr>
      <w:r>
        <w:rPr>
          <w:rFonts w:hint="eastAsia"/>
          <w:color w:val="auto"/>
          <w:lang w:val="en-US" w:eastAsia="zh-CN"/>
        </w:rPr>
        <w:t>本节适用于穿斗式、抬梁式、梁柱式木结构以及在混凝土、砌体、钢结构中的木楼、屋盖。</w:t>
      </w:r>
    </w:p>
    <w:p>
      <w:pPr>
        <w:pStyle w:val="29"/>
        <w:numPr>
          <w:ilvl w:val="2"/>
          <w:numId w:val="12"/>
        </w:numPr>
        <w:bidi w:val="0"/>
        <w:rPr>
          <w:rFonts w:hint="default"/>
          <w:color w:val="auto"/>
          <w:lang w:val="en-US" w:eastAsia="zh-CN"/>
        </w:rPr>
      </w:pPr>
      <w:r>
        <w:rPr>
          <w:rFonts w:hint="eastAsia"/>
          <w:color w:val="auto"/>
          <w:lang w:val="en-US" w:eastAsia="zh-CN"/>
        </w:rPr>
        <w:t>结构体系鉴定</w:t>
      </w:r>
    </w:p>
    <w:p>
      <w:pPr>
        <w:pStyle w:val="5"/>
        <w:bidi w:val="0"/>
        <w:ind w:left="0" w:leftChars="0" w:firstLine="0" w:firstLineChars="0"/>
        <w:rPr>
          <w:color w:val="auto"/>
        </w:rPr>
      </w:pPr>
      <w:r>
        <w:rPr>
          <w:rFonts w:hint="eastAsia"/>
          <w:color w:val="auto"/>
          <w:lang w:val="en-US" w:eastAsia="zh-CN"/>
        </w:rPr>
        <w:t>木结构的结构体系鉴定</w:t>
      </w:r>
      <w:r>
        <w:rPr>
          <w:color w:val="auto"/>
        </w:rPr>
        <w:t>，应</w:t>
      </w:r>
      <w:r>
        <w:rPr>
          <w:rFonts w:hint="eastAsia"/>
          <w:color w:val="auto"/>
          <w:lang w:val="en-US" w:eastAsia="zh-CN"/>
        </w:rPr>
        <w:t>对建筑高度、</w:t>
      </w:r>
      <w:r>
        <w:rPr>
          <w:color w:val="auto"/>
        </w:rPr>
        <w:t>结构布置</w:t>
      </w:r>
      <w:r>
        <w:rPr>
          <w:rFonts w:hint="eastAsia"/>
          <w:color w:val="auto"/>
          <w:lang w:val="en-US" w:eastAsia="zh-CN"/>
        </w:rPr>
        <w:t>、支撑系统布置和连接、构件连接和构造、易倒塌构件、局部倾斜、顶点位移</w:t>
      </w:r>
      <w:r>
        <w:rPr>
          <w:color w:val="auto"/>
        </w:rPr>
        <w:t>等</w:t>
      </w:r>
      <w:r>
        <w:rPr>
          <w:rFonts w:hint="eastAsia"/>
          <w:color w:val="auto"/>
          <w:lang w:val="en-US" w:eastAsia="zh-CN"/>
        </w:rPr>
        <w:t>检查项目进行检查</w:t>
      </w:r>
      <w:r>
        <w:rPr>
          <w:color w:val="auto"/>
        </w:rPr>
        <w:t>。</w:t>
      </w:r>
    </w:p>
    <w:p>
      <w:pPr>
        <w:pStyle w:val="5"/>
        <w:bidi w:val="0"/>
        <w:ind w:left="0" w:leftChars="0" w:firstLine="0" w:firstLineChars="0"/>
        <w:rPr>
          <w:rFonts w:hint="eastAsia"/>
          <w:color w:val="auto"/>
          <w:lang w:val="en-US" w:eastAsia="zh-CN"/>
        </w:rPr>
      </w:pPr>
      <w:r>
        <w:rPr>
          <w:rFonts w:hint="eastAsia"/>
          <w:color w:val="auto"/>
          <w:lang w:val="en-US" w:eastAsia="zh-CN"/>
        </w:rPr>
        <w:t>木结构建筑的高度应符合下列要求：</w:t>
      </w:r>
    </w:p>
    <w:p>
      <w:pPr>
        <w:pStyle w:val="36"/>
        <w:bidi w:val="0"/>
        <w:rPr>
          <w:rFonts w:hint="eastAsia"/>
          <w:color w:val="auto"/>
          <w:lang w:val="en-US" w:eastAsia="zh-CN"/>
        </w:rPr>
      </w:pPr>
      <w:r>
        <w:rPr>
          <w:rFonts w:hint="eastAsia"/>
          <w:color w:val="auto"/>
          <w:lang w:val="en-US" w:eastAsia="zh-CN"/>
        </w:rPr>
        <w:t>木柱木屋架和穿斗木构架建筑，不宜超过二层，总高度不宜超过6m；</w:t>
      </w:r>
    </w:p>
    <w:p>
      <w:pPr>
        <w:pStyle w:val="36"/>
        <w:bidi w:val="0"/>
        <w:rPr>
          <w:rFonts w:hint="eastAsia"/>
          <w:color w:val="auto"/>
          <w:lang w:val="en-US" w:eastAsia="zh-CN"/>
        </w:rPr>
      </w:pPr>
      <w:r>
        <w:rPr>
          <w:rFonts w:hint="eastAsia"/>
          <w:color w:val="auto"/>
          <w:lang w:val="en-US" w:eastAsia="zh-CN"/>
        </w:rPr>
        <w:t>木柱木梁建筑宜为单层，高度不宜超过3m。</w:t>
      </w:r>
    </w:p>
    <w:p>
      <w:pPr>
        <w:pStyle w:val="5"/>
        <w:bidi w:val="0"/>
        <w:ind w:left="0" w:leftChars="0" w:firstLine="0" w:firstLineChars="0"/>
        <w:rPr>
          <w:color w:val="auto"/>
        </w:rPr>
      </w:pPr>
      <w:r>
        <w:rPr>
          <w:rFonts w:hint="eastAsia"/>
          <w:color w:val="auto"/>
          <w:lang w:val="en-US" w:eastAsia="zh-CN"/>
        </w:rPr>
        <w:t xml:space="preserve">木结构建筑的结构布置应符合下列要求： </w:t>
      </w:r>
    </w:p>
    <w:p>
      <w:pPr>
        <w:pStyle w:val="36"/>
        <w:bidi w:val="0"/>
        <w:rPr>
          <w:color w:val="auto"/>
        </w:rPr>
      </w:pPr>
      <w:r>
        <w:rPr>
          <w:rFonts w:hint="eastAsia"/>
          <w:color w:val="auto"/>
          <w:lang w:val="en-US" w:eastAsia="zh-CN"/>
        </w:rPr>
        <w:t xml:space="preserve">房屋的平面布置应避免拐角或突出； </w:t>
      </w:r>
    </w:p>
    <w:p>
      <w:pPr>
        <w:pStyle w:val="36"/>
        <w:bidi w:val="0"/>
        <w:rPr>
          <w:rFonts w:hint="eastAsia"/>
          <w:color w:val="auto"/>
          <w:lang w:val="en-US" w:eastAsia="zh-CN"/>
        </w:rPr>
      </w:pPr>
      <w:r>
        <w:rPr>
          <w:rFonts w:hint="eastAsia"/>
          <w:color w:val="auto"/>
          <w:lang w:val="en-US" w:eastAsia="zh-CN"/>
        </w:rPr>
        <w:t>多层房屋的楼层不应错层，不应采用板式单边悬挑楼梯；</w:t>
      </w:r>
    </w:p>
    <w:p>
      <w:pPr>
        <w:pStyle w:val="36"/>
        <w:bidi w:val="0"/>
        <w:rPr>
          <w:rFonts w:hint="eastAsia"/>
          <w:color w:val="auto"/>
          <w:lang w:val="en-US" w:eastAsia="zh-CN"/>
        </w:rPr>
      </w:pPr>
      <w:r>
        <w:rPr>
          <w:rFonts w:hint="eastAsia"/>
          <w:color w:val="auto"/>
          <w:lang w:val="en-US" w:eastAsia="zh-CN"/>
        </w:rPr>
        <w:t>不应在同一高度内采用不同材料的承重构件；</w:t>
      </w:r>
    </w:p>
    <w:p>
      <w:pPr>
        <w:pStyle w:val="36"/>
        <w:bidi w:val="0"/>
        <w:rPr>
          <w:rFonts w:hint="eastAsia"/>
          <w:color w:val="auto"/>
          <w:lang w:val="en-US" w:eastAsia="zh-CN"/>
        </w:rPr>
      </w:pPr>
      <w:r>
        <w:rPr>
          <w:rFonts w:hint="eastAsia"/>
          <w:color w:val="auto"/>
          <w:lang w:val="en-US" w:eastAsia="zh-CN"/>
        </w:rPr>
        <w:t>屋檐外挑梁上不得砌筑砌体；</w:t>
      </w:r>
    </w:p>
    <w:p>
      <w:pPr>
        <w:pStyle w:val="36"/>
        <w:bidi w:val="0"/>
        <w:rPr>
          <w:rFonts w:hint="eastAsia"/>
          <w:color w:val="auto"/>
          <w:lang w:val="en-US" w:eastAsia="zh-CN"/>
        </w:rPr>
      </w:pPr>
      <w:r>
        <w:rPr>
          <w:rFonts w:hint="eastAsia"/>
          <w:color w:val="auto"/>
          <w:lang w:val="en-US" w:eastAsia="zh-CN"/>
        </w:rPr>
        <w:t>木</w:t>
      </w:r>
      <w:r>
        <w:rPr>
          <w:color w:val="auto"/>
        </w:rPr>
        <w:t>柱木屋架不应为无下弦的人字屋架</w:t>
      </w:r>
      <w:r>
        <w:rPr>
          <w:rFonts w:hint="eastAsia"/>
          <w:color w:val="auto"/>
          <w:lang w:eastAsia="zh-CN"/>
        </w:rPr>
        <w:t>；</w:t>
      </w:r>
    </w:p>
    <w:p>
      <w:pPr>
        <w:pStyle w:val="5"/>
        <w:bidi w:val="0"/>
        <w:ind w:left="0" w:leftChars="0" w:firstLine="0" w:firstLineChars="0"/>
        <w:rPr>
          <w:color w:val="auto"/>
        </w:rPr>
      </w:pPr>
      <w:r>
        <w:rPr>
          <w:rFonts w:hint="eastAsia"/>
          <w:color w:val="auto"/>
          <w:lang w:val="en-US" w:eastAsia="zh-CN"/>
        </w:rPr>
        <w:t>木结构房屋不应采用木柱与砖柱或砖墙等混合承重；山墙应设置端屋架（木梁），不得采用硬山搁檩。</w:t>
      </w:r>
    </w:p>
    <w:p>
      <w:pPr>
        <w:pStyle w:val="5"/>
        <w:bidi w:val="0"/>
        <w:ind w:left="0" w:leftChars="0" w:firstLine="0" w:firstLineChars="0"/>
        <w:rPr>
          <w:color w:val="auto"/>
        </w:rPr>
      </w:pPr>
      <w:r>
        <w:rPr>
          <w:rFonts w:hint="eastAsia"/>
          <w:color w:val="auto"/>
          <w:lang w:val="en-US" w:eastAsia="zh-CN"/>
        </w:rPr>
        <w:t xml:space="preserve">木楼、屋盖支撑系统应满足下列要求： </w:t>
      </w:r>
    </w:p>
    <w:p>
      <w:pPr>
        <w:pStyle w:val="36"/>
        <w:bidi w:val="0"/>
        <w:rPr>
          <w:color w:val="auto"/>
        </w:rPr>
      </w:pPr>
      <w:r>
        <w:rPr>
          <w:rFonts w:hint="eastAsia"/>
          <w:color w:val="auto"/>
          <w:lang w:val="en-US" w:eastAsia="zh-CN"/>
        </w:rPr>
        <w:t>两端开间屋架和中间隔开间屋架应设置竖向剪刀撑；屋架跨度大于9米时，建筑单元端开间应有横向支撑。</w:t>
      </w:r>
    </w:p>
    <w:p>
      <w:pPr>
        <w:pStyle w:val="36"/>
        <w:bidi w:val="0"/>
        <w:rPr>
          <w:color w:val="auto"/>
        </w:rPr>
      </w:pPr>
      <w:r>
        <w:rPr>
          <w:rFonts w:hint="eastAsia"/>
          <w:color w:val="auto"/>
          <w:lang w:val="en-US" w:eastAsia="zh-CN"/>
        </w:rPr>
        <w:t>在屋檐高度处应设置纵向通长水平系杆，系杆应与木梁、屋架下弦连接牢固。</w:t>
      </w:r>
      <w:r>
        <w:rPr>
          <w:rFonts w:hint="default"/>
          <w:color w:val="auto"/>
          <w:lang w:val="en-US" w:eastAsia="zh-CN"/>
        </w:rPr>
        <w:t xml:space="preserve"> </w:t>
      </w:r>
    </w:p>
    <w:p>
      <w:pPr>
        <w:pStyle w:val="36"/>
        <w:bidi w:val="0"/>
        <w:rPr>
          <w:color w:val="auto"/>
        </w:rPr>
      </w:pPr>
      <w:r>
        <w:rPr>
          <w:rFonts w:hint="eastAsia"/>
          <w:color w:val="auto"/>
          <w:lang w:val="en-US" w:eastAsia="zh-CN"/>
        </w:rPr>
        <w:t xml:space="preserve">山墙、山尖墙应采用墙揽与木屋架、木构架或檩条拉结。 </w:t>
      </w:r>
    </w:p>
    <w:p>
      <w:pPr>
        <w:pStyle w:val="36"/>
        <w:bidi w:val="0"/>
        <w:rPr>
          <w:rFonts w:hint="eastAsia"/>
          <w:color w:val="auto"/>
          <w:lang w:val="en-US" w:eastAsia="zh-CN"/>
        </w:rPr>
      </w:pPr>
      <w:r>
        <w:rPr>
          <w:rFonts w:hint="eastAsia"/>
          <w:color w:val="auto"/>
          <w:lang w:val="en-US" w:eastAsia="zh-CN"/>
        </w:rPr>
        <w:t>内隔墙墙顶应与梁或屋架下弦拉结。</w:t>
      </w:r>
    </w:p>
    <w:p>
      <w:pPr>
        <w:pStyle w:val="5"/>
        <w:bidi w:val="0"/>
        <w:ind w:left="0" w:leftChars="0" w:firstLine="0" w:firstLineChars="0"/>
        <w:rPr>
          <w:color w:val="auto"/>
        </w:rPr>
      </w:pPr>
      <w:r>
        <w:rPr>
          <w:color w:val="auto"/>
          <w:lang w:val="en-US" w:eastAsia="zh-CN"/>
        </w:rPr>
        <w:t>柱顶在两个方向均应有可靠连接</w:t>
      </w:r>
      <w:r>
        <w:rPr>
          <w:rFonts w:hint="eastAsia"/>
          <w:color w:val="auto"/>
          <w:lang w:eastAsia="zh-CN"/>
        </w:rPr>
        <w:t>，</w:t>
      </w:r>
      <w:r>
        <w:rPr>
          <w:color w:val="auto"/>
        </w:rPr>
        <w:t>被木梁间断的木柱与梁应有铁件连接</w:t>
      </w:r>
      <w:r>
        <w:rPr>
          <w:rFonts w:hint="eastAsia"/>
          <w:color w:val="auto"/>
          <w:lang w:eastAsia="zh-CN"/>
        </w:rPr>
        <w:t>；</w:t>
      </w:r>
      <w:r>
        <w:rPr>
          <w:rFonts w:hint="eastAsia"/>
          <w:color w:val="auto"/>
          <w:lang w:val="en-US" w:eastAsia="zh-CN"/>
        </w:rPr>
        <w:t>木柱木屋架和木柱木梁房屋应在木柱与屋架</w:t>
      </w:r>
      <w:r>
        <w:rPr>
          <w:rFonts w:hint="default"/>
          <w:color w:val="auto"/>
          <w:lang w:val="en-US" w:eastAsia="zh-CN"/>
        </w:rPr>
        <w:t>(</w:t>
      </w:r>
      <w:r>
        <w:rPr>
          <w:rFonts w:hint="eastAsia"/>
          <w:color w:val="auto"/>
          <w:lang w:val="en-US" w:eastAsia="zh-CN"/>
        </w:rPr>
        <w:t>或梁</w:t>
      </w:r>
      <w:r>
        <w:rPr>
          <w:rFonts w:hint="default"/>
          <w:color w:val="auto"/>
          <w:lang w:val="en-US" w:eastAsia="zh-CN"/>
        </w:rPr>
        <w:t>)</w:t>
      </w:r>
      <w:r>
        <w:rPr>
          <w:rFonts w:hint="eastAsia"/>
          <w:color w:val="auto"/>
          <w:lang w:val="en-US" w:eastAsia="zh-CN"/>
        </w:rPr>
        <w:t>间设置斜撑；斜撑宜采用木夹板，并应通到屋架的上弦。</w:t>
      </w:r>
    </w:p>
    <w:p>
      <w:pPr>
        <w:pStyle w:val="5"/>
        <w:bidi w:val="0"/>
        <w:ind w:left="0" w:leftChars="0" w:firstLine="0" w:firstLineChars="0"/>
        <w:rPr>
          <w:rFonts w:hint="eastAsia"/>
          <w:color w:val="auto"/>
          <w:lang w:val="en-US" w:eastAsia="zh-CN"/>
        </w:rPr>
      </w:pPr>
      <w:r>
        <w:rPr>
          <w:rFonts w:hint="eastAsia"/>
          <w:color w:val="auto"/>
          <w:lang w:val="en-US" w:eastAsia="zh-CN"/>
        </w:rPr>
        <w:t>木构架中，宜在柱檐口以上沿房屋纵向设置竖向剪刀撑等措施；穿斗木构架房屋的横向和纵向均应在木柱的上、下柱端和楼层下部设置穿枋，并应在每一纵向柱列间设置</w:t>
      </w:r>
      <w:r>
        <w:rPr>
          <w:rFonts w:hint="default"/>
          <w:color w:val="auto"/>
          <w:lang w:val="en-US" w:eastAsia="zh-CN"/>
        </w:rPr>
        <w:t>1</w:t>
      </w:r>
      <w:r>
        <w:rPr>
          <w:rFonts w:hint="eastAsia"/>
          <w:color w:val="auto"/>
          <w:lang w:val="en-US" w:eastAsia="zh-CN"/>
        </w:rPr>
        <w:t>～</w:t>
      </w:r>
      <w:r>
        <w:rPr>
          <w:rFonts w:hint="default"/>
          <w:color w:val="auto"/>
          <w:lang w:val="en-US" w:eastAsia="zh-CN"/>
        </w:rPr>
        <w:t xml:space="preserve">2 </w:t>
      </w:r>
      <w:r>
        <w:rPr>
          <w:rFonts w:hint="eastAsia"/>
          <w:color w:val="auto"/>
          <w:lang w:val="en-US" w:eastAsia="zh-CN"/>
        </w:rPr>
        <w:t>道剪刀撑或斜撑。</w:t>
      </w:r>
    </w:p>
    <w:p>
      <w:pPr>
        <w:pStyle w:val="5"/>
        <w:bidi w:val="0"/>
        <w:ind w:left="0" w:leftChars="0" w:firstLine="0" w:firstLineChars="0"/>
        <w:rPr>
          <w:color w:val="auto"/>
        </w:rPr>
      </w:pPr>
      <w:r>
        <w:rPr>
          <w:rFonts w:hint="eastAsia"/>
          <w:color w:val="auto"/>
          <w:lang w:val="en-US" w:eastAsia="zh-CN"/>
        </w:rPr>
        <w:t xml:space="preserve">木结构房屋的构件连接，应符合下列要求： </w:t>
      </w:r>
    </w:p>
    <w:p>
      <w:pPr>
        <w:pStyle w:val="36"/>
        <w:bidi w:val="0"/>
        <w:rPr>
          <w:color w:val="auto"/>
        </w:rPr>
      </w:pPr>
      <w:r>
        <w:rPr>
          <w:rFonts w:hint="eastAsia"/>
          <w:color w:val="auto"/>
          <w:lang w:val="en-US" w:eastAsia="zh-CN"/>
        </w:rPr>
        <w:t>柱顶应有暗榫插入屋架下弦，并用</w:t>
      </w:r>
      <w:r>
        <w:rPr>
          <w:rFonts w:hint="default"/>
          <w:color w:val="auto"/>
          <w:lang w:val="en-US" w:eastAsia="zh-CN"/>
        </w:rPr>
        <w:t>U</w:t>
      </w:r>
      <w:r>
        <w:rPr>
          <w:rFonts w:hint="eastAsia"/>
          <w:color w:val="auto"/>
          <w:lang w:val="en-US" w:eastAsia="zh-CN"/>
        </w:rPr>
        <w:t>形铁件连接；</w:t>
      </w:r>
      <w:r>
        <w:rPr>
          <w:color w:val="auto"/>
        </w:rPr>
        <w:t>柱底与基础应有锚固</w:t>
      </w:r>
      <w:r>
        <w:rPr>
          <w:rFonts w:hint="eastAsia"/>
          <w:color w:val="auto"/>
          <w:lang w:eastAsia="zh-CN"/>
        </w:rPr>
        <w:t>；</w:t>
      </w:r>
      <w:r>
        <w:rPr>
          <w:rFonts w:hint="eastAsia"/>
          <w:color w:val="auto"/>
          <w:lang w:val="en-US" w:eastAsia="zh-CN"/>
        </w:rPr>
        <w:t>柱础埋入地面以下的深度不应小于</w:t>
      </w:r>
      <w:r>
        <w:rPr>
          <w:rFonts w:hint="default"/>
          <w:color w:val="auto"/>
          <w:lang w:val="en-US" w:eastAsia="zh-CN"/>
        </w:rPr>
        <w:t>200mm</w:t>
      </w:r>
      <w:r>
        <w:rPr>
          <w:rFonts w:hint="eastAsia"/>
          <w:color w:val="auto"/>
          <w:lang w:val="en-US" w:eastAsia="zh-CN"/>
        </w:rPr>
        <w:t>。</w:t>
      </w:r>
    </w:p>
    <w:p>
      <w:pPr>
        <w:pStyle w:val="36"/>
        <w:bidi w:val="0"/>
        <w:rPr>
          <w:color w:val="auto"/>
        </w:rPr>
      </w:pPr>
      <w:r>
        <w:rPr>
          <w:rFonts w:hint="eastAsia"/>
          <w:color w:val="auto"/>
          <w:lang w:val="en-US" w:eastAsia="zh-CN"/>
        </w:rPr>
        <w:t xml:space="preserve">斜撑和屋盖支撑结构，均应采用螺栓与主体构件相连接；除穿斗木构件外，其他木构件宜采用螺栓连接。 </w:t>
      </w:r>
    </w:p>
    <w:p>
      <w:pPr>
        <w:pStyle w:val="36"/>
        <w:bidi w:val="0"/>
        <w:rPr>
          <w:rFonts w:hint="eastAsia"/>
          <w:color w:val="auto"/>
          <w:lang w:eastAsia="zh-CN"/>
        </w:rPr>
      </w:pPr>
      <w:r>
        <w:rPr>
          <w:rFonts w:hint="eastAsia"/>
          <w:color w:val="auto"/>
          <w:lang w:val="en-US" w:eastAsia="zh-CN"/>
        </w:rPr>
        <w:t>椽与檩、</w:t>
      </w:r>
      <w:r>
        <w:rPr>
          <w:color w:val="auto"/>
        </w:rPr>
        <w:t>檩与屋架</w:t>
      </w:r>
      <w:r>
        <w:rPr>
          <w:rFonts w:hint="eastAsia"/>
          <w:color w:val="auto"/>
          <w:lang w:eastAsia="zh-CN"/>
        </w:rPr>
        <w:t>、</w:t>
      </w:r>
      <w:r>
        <w:rPr>
          <w:color w:val="auto"/>
        </w:rPr>
        <w:t>龙骨与大梁、楼板</w:t>
      </w:r>
      <w:r>
        <w:rPr>
          <w:rFonts w:hint="eastAsia"/>
          <w:color w:val="auto"/>
          <w:lang w:val="en-US" w:eastAsia="zh-CN"/>
        </w:rPr>
        <w:t>与</w:t>
      </w:r>
      <w:r>
        <w:rPr>
          <w:color w:val="auto"/>
        </w:rPr>
        <w:t>龙骨</w:t>
      </w:r>
      <w:r>
        <w:rPr>
          <w:rFonts w:hint="eastAsia"/>
          <w:color w:val="auto"/>
          <w:lang w:val="en-US" w:eastAsia="zh-CN"/>
        </w:rPr>
        <w:t>等应</w:t>
      </w:r>
      <w:r>
        <w:rPr>
          <w:color w:val="auto"/>
        </w:rPr>
        <w:t>钉牢</w:t>
      </w:r>
      <w:r>
        <w:rPr>
          <w:rFonts w:hint="eastAsia"/>
          <w:color w:val="auto"/>
          <w:lang w:eastAsia="zh-CN"/>
        </w:rPr>
        <w:t>，</w:t>
      </w:r>
      <w:r>
        <w:rPr>
          <w:color w:val="auto"/>
        </w:rPr>
        <w:t>对接檩下方应有替木或爬木</w:t>
      </w:r>
      <w:r>
        <w:rPr>
          <w:rFonts w:hint="eastAsia"/>
          <w:color w:val="auto"/>
          <w:lang w:eastAsia="zh-CN"/>
        </w:rPr>
        <w:t>。</w:t>
      </w:r>
    </w:p>
    <w:p>
      <w:pPr>
        <w:pStyle w:val="5"/>
        <w:bidi w:val="0"/>
        <w:ind w:left="0" w:leftChars="0" w:firstLine="0" w:firstLineChars="0"/>
        <w:rPr>
          <w:color w:val="auto"/>
        </w:rPr>
      </w:pPr>
      <w:r>
        <w:rPr>
          <w:rFonts w:hint="default"/>
          <w:color w:val="auto"/>
          <w:lang w:val="en-US" w:eastAsia="zh-CN"/>
        </w:rPr>
        <w:t>木构件的支承长度，对在墙上</w:t>
      </w:r>
      <w:r>
        <w:rPr>
          <w:rFonts w:hint="eastAsia"/>
          <w:color w:val="auto"/>
          <w:lang w:val="en-US" w:eastAsia="zh-CN"/>
        </w:rPr>
        <w:t>的</w:t>
      </w:r>
      <w:r>
        <w:rPr>
          <w:rFonts w:hint="default"/>
          <w:color w:val="auto"/>
          <w:lang w:val="en-US" w:eastAsia="zh-CN"/>
        </w:rPr>
        <w:t>屋架和</w:t>
      </w:r>
      <w:r>
        <w:rPr>
          <w:rFonts w:hint="eastAsia"/>
          <w:color w:val="auto"/>
          <w:lang w:val="en-US" w:eastAsia="zh-CN"/>
        </w:rPr>
        <w:t>木</w:t>
      </w:r>
      <w:r>
        <w:rPr>
          <w:rFonts w:hint="default"/>
          <w:color w:val="auto"/>
          <w:lang w:val="en-US" w:eastAsia="zh-CN"/>
        </w:rPr>
        <w:t>梁不应小于2</w:t>
      </w:r>
      <w:r>
        <w:rPr>
          <w:rFonts w:hint="eastAsia"/>
          <w:color w:val="auto"/>
          <w:lang w:val="en-US" w:eastAsia="zh-CN"/>
        </w:rPr>
        <w:t>4</w:t>
      </w:r>
      <w:r>
        <w:rPr>
          <w:rFonts w:hint="default"/>
          <w:color w:val="auto"/>
          <w:lang w:val="en-US" w:eastAsia="zh-CN"/>
        </w:rPr>
        <w:t>0mm，对</w:t>
      </w:r>
      <w:r>
        <w:rPr>
          <w:rFonts w:hint="eastAsia"/>
          <w:color w:val="auto"/>
          <w:lang w:val="en-US" w:eastAsia="zh-CN"/>
        </w:rPr>
        <w:t>墙上的</w:t>
      </w:r>
      <w:r>
        <w:rPr>
          <w:rFonts w:hint="default"/>
          <w:color w:val="auto"/>
          <w:lang w:val="en-US" w:eastAsia="zh-CN"/>
        </w:rPr>
        <w:t>接檩和木龙骨不应小于120mm</w:t>
      </w:r>
      <w:r>
        <w:rPr>
          <w:rFonts w:hint="eastAsia"/>
          <w:color w:val="auto"/>
          <w:lang w:val="en-US" w:eastAsia="zh-CN"/>
        </w:rPr>
        <w:t>，</w:t>
      </w:r>
      <w:r>
        <w:rPr>
          <w:rFonts w:hint="default"/>
          <w:color w:val="auto"/>
          <w:lang w:val="en-US" w:eastAsia="zh-CN"/>
        </w:rPr>
        <w:t>对</w:t>
      </w:r>
      <w:r>
        <w:rPr>
          <w:rFonts w:hint="eastAsia"/>
          <w:color w:val="auto"/>
          <w:lang w:val="en-US" w:eastAsia="zh-CN"/>
        </w:rPr>
        <w:t>屋架上的</w:t>
      </w:r>
      <w:r>
        <w:rPr>
          <w:rFonts w:hint="default"/>
          <w:color w:val="auto"/>
          <w:lang w:val="en-US" w:eastAsia="zh-CN"/>
        </w:rPr>
        <w:t>接檩不应小于</w:t>
      </w:r>
      <w:r>
        <w:rPr>
          <w:rFonts w:hint="eastAsia"/>
          <w:color w:val="auto"/>
          <w:lang w:val="en-US" w:eastAsia="zh-CN"/>
        </w:rPr>
        <w:t>6</w:t>
      </w:r>
      <w:r>
        <w:rPr>
          <w:rFonts w:hint="default"/>
          <w:color w:val="auto"/>
          <w:lang w:val="en-US" w:eastAsia="zh-CN"/>
        </w:rPr>
        <w:t>0mm</w:t>
      </w:r>
      <w:r>
        <w:rPr>
          <w:rFonts w:hint="eastAsia"/>
          <w:color w:val="auto"/>
          <w:lang w:val="en-US" w:eastAsia="zh-CN"/>
        </w:rPr>
        <w:t>。</w:t>
      </w:r>
    </w:p>
    <w:p>
      <w:pPr>
        <w:pStyle w:val="5"/>
        <w:bidi w:val="0"/>
        <w:ind w:left="0" w:leftChars="0" w:firstLine="0" w:firstLineChars="0"/>
        <w:rPr>
          <w:rFonts w:hint="default"/>
          <w:color w:val="auto"/>
          <w:lang w:val="en-US" w:eastAsia="zh-CN"/>
        </w:rPr>
      </w:pPr>
      <w:r>
        <w:rPr>
          <w:rFonts w:hint="eastAsia"/>
          <w:color w:val="auto"/>
          <w:lang w:val="en-US" w:eastAsia="zh-CN"/>
        </w:rPr>
        <w:t>木结构主要木构件应符合下列要求：</w:t>
      </w:r>
    </w:p>
    <w:p>
      <w:pPr>
        <w:pStyle w:val="36"/>
        <w:bidi w:val="0"/>
        <w:rPr>
          <w:rFonts w:hint="eastAsia"/>
          <w:color w:val="auto"/>
          <w:lang w:val="en-US" w:eastAsia="zh-CN"/>
        </w:rPr>
      </w:pPr>
      <w:r>
        <w:rPr>
          <w:rFonts w:hint="eastAsia"/>
          <w:color w:val="auto"/>
          <w:lang w:val="en-US" w:eastAsia="zh-CN"/>
        </w:rPr>
        <w:t>木柱的梢径不宜小于150mm；</w:t>
      </w:r>
    </w:p>
    <w:p>
      <w:pPr>
        <w:pStyle w:val="36"/>
        <w:bidi w:val="0"/>
        <w:rPr>
          <w:rFonts w:hint="eastAsia"/>
          <w:color w:val="auto"/>
          <w:lang w:val="en-US" w:eastAsia="zh-CN"/>
        </w:rPr>
      </w:pPr>
      <w:r>
        <w:rPr>
          <w:rFonts w:hint="eastAsia"/>
          <w:color w:val="auto"/>
          <w:lang w:val="en-US" w:eastAsia="zh-CN"/>
        </w:rPr>
        <w:t>柱的同一高度处纵横向不应同时开槽，柱的同一截面开槽面积不应超过截面总面积的1/2；</w:t>
      </w:r>
    </w:p>
    <w:p>
      <w:pPr>
        <w:pStyle w:val="36"/>
        <w:bidi w:val="0"/>
        <w:rPr>
          <w:rFonts w:hint="eastAsia"/>
          <w:color w:val="auto"/>
          <w:lang w:val="en-US" w:eastAsia="zh-CN"/>
        </w:rPr>
      </w:pPr>
      <w:r>
        <w:rPr>
          <w:rFonts w:hint="eastAsia"/>
          <w:color w:val="auto"/>
          <w:lang w:val="en-US" w:eastAsia="zh-CN"/>
        </w:rPr>
        <w:t>木柱不应有接头；</w:t>
      </w:r>
    </w:p>
    <w:p>
      <w:pPr>
        <w:pStyle w:val="36"/>
        <w:bidi w:val="0"/>
        <w:rPr>
          <w:rFonts w:hint="default"/>
          <w:color w:val="auto"/>
          <w:lang w:val="en-US" w:eastAsia="zh-CN"/>
        </w:rPr>
      </w:pPr>
      <w:r>
        <w:rPr>
          <w:rFonts w:hint="default"/>
          <w:color w:val="auto"/>
          <w:lang w:val="en-US" w:eastAsia="zh-CN"/>
        </w:rPr>
        <w:t>穿</w:t>
      </w:r>
      <w:r>
        <w:rPr>
          <w:rFonts w:hint="eastAsia"/>
          <w:color w:val="auto"/>
          <w:lang w:val="en-US" w:eastAsia="zh-CN"/>
        </w:rPr>
        <w:t>枋</w:t>
      </w:r>
      <w:r>
        <w:rPr>
          <w:rFonts w:hint="default"/>
          <w:color w:val="auto"/>
          <w:lang w:val="en-US" w:eastAsia="zh-CN"/>
        </w:rPr>
        <w:t>应贯通木构架各柱。</w:t>
      </w:r>
    </w:p>
    <w:p>
      <w:pPr>
        <w:pStyle w:val="5"/>
        <w:bidi w:val="0"/>
        <w:ind w:left="0" w:leftChars="0" w:firstLine="0" w:firstLineChars="0"/>
        <w:rPr>
          <w:rFonts w:hint="default"/>
          <w:color w:val="auto"/>
          <w:lang w:val="en-US" w:eastAsia="zh-CN"/>
        </w:rPr>
      </w:pPr>
      <w:bookmarkStart w:id="88" w:name="_Ref13149"/>
      <w:r>
        <w:rPr>
          <w:rFonts w:hint="eastAsia"/>
          <w:color w:val="auto"/>
          <w:lang w:val="en-US" w:eastAsia="zh-CN"/>
        </w:rPr>
        <w:t>木结构受压构件长细比应满足表</w:t>
      </w:r>
      <w:r>
        <w:rPr>
          <w:rFonts w:hint="eastAsia"/>
          <w:color w:val="auto"/>
          <w:lang w:val="en-US" w:eastAsia="zh-CN"/>
        </w:rPr>
        <w:fldChar w:fldCharType="begin"/>
      </w:r>
      <w:r>
        <w:rPr>
          <w:rFonts w:hint="eastAsia"/>
          <w:color w:val="auto"/>
          <w:lang w:val="en-US" w:eastAsia="zh-CN"/>
        </w:rPr>
        <w:instrText xml:space="preserve"> REF _Ref13149 \n \h </w:instrText>
      </w:r>
      <w:r>
        <w:rPr>
          <w:rFonts w:hint="eastAsia"/>
          <w:color w:val="auto"/>
          <w:lang w:val="en-US" w:eastAsia="zh-CN"/>
        </w:rPr>
        <w:fldChar w:fldCharType="separate"/>
      </w:r>
      <w:r>
        <w:rPr>
          <w:rFonts w:hint="eastAsia"/>
          <w:color w:val="auto"/>
          <w:lang w:val="en-US" w:eastAsia="zh-CN"/>
        </w:rPr>
        <w:t>7.5.12</w:t>
      </w:r>
      <w:r>
        <w:rPr>
          <w:rFonts w:hint="eastAsia"/>
          <w:color w:val="auto"/>
          <w:lang w:val="en-US" w:eastAsia="zh-CN"/>
        </w:rPr>
        <w:fldChar w:fldCharType="end"/>
      </w:r>
      <w:r>
        <w:rPr>
          <w:rFonts w:hint="eastAsia"/>
          <w:color w:val="auto"/>
          <w:lang w:val="en-US" w:eastAsia="zh-CN"/>
        </w:rPr>
        <w:t>的规定。</w:t>
      </w:r>
      <w:bookmarkEnd w:id="88"/>
    </w:p>
    <w:p>
      <w:pPr>
        <w:pStyle w:val="25"/>
        <w:bidi w:val="0"/>
        <w:rPr>
          <w:rFonts w:hint="eastAsia"/>
          <w:color w:val="auto"/>
          <w:lang w:val="en-US" w:eastAsia="zh-CN"/>
        </w:rPr>
      </w:pPr>
      <w:r>
        <w:rPr>
          <w:rFonts w:hint="eastAsia"/>
          <w:color w:val="auto"/>
          <w:lang w:val="en-US" w:eastAsia="zh-CN"/>
        </w:rPr>
        <w:t>表</w:t>
      </w:r>
      <w:r>
        <w:rPr>
          <w:rFonts w:hint="eastAsia"/>
          <w:color w:val="auto"/>
          <w:lang w:val="en-US" w:eastAsia="zh-CN"/>
        </w:rPr>
        <w:fldChar w:fldCharType="begin"/>
      </w:r>
      <w:r>
        <w:rPr>
          <w:rFonts w:hint="eastAsia"/>
          <w:color w:val="auto"/>
          <w:lang w:val="en-US" w:eastAsia="zh-CN"/>
        </w:rPr>
        <w:instrText xml:space="preserve"> REF _Ref13149 \n \h </w:instrText>
      </w:r>
      <w:r>
        <w:rPr>
          <w:rFonts w:hint="eastAsia"/>
          <w:color w:val="auto"/>
          <w:lang w:val="en-US" w:eastAsia="zh-CN"/>
        </w:rPr>
        <w:fldChar w:fldCharType="separate"/>
      </w:r>
      <w:r>
        <w:rPr>
          <w:rFonts w:hint="eastAsia"/>
          <w:color w:val="auto"/>
          <w:lang w:val="en-US" w:eastAsia="zh-CN"/>
        </w:rPr>
        <w:t>7.5.12</w:t>
      </w:r>
      <w:r>
        <w:rPr>
          <w:rFonts w:hint="eastAsia"/>
          <w:color w:val="auto"/>
          <w:lang w:val="en-US" w:eastAsia="zh-CN"/>
        </w:rPr>
        <w:fldChar w:fldCharType="end"/>
      </w:r>
      <w:r>
        <w:rPr>
          <w:rFonts w:hint="eastAsia"/>
          <w:color w:val="auto"/>
          <w:lang w:val="en-US" w:eastAsia="zh-CN"/>
        </w:rPr>
        <w:t xml:space="preserve"> 受压构件长细比限值</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4829"/>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项次</w:t>
            </w:r>
          </w:p>
        </w:tc>
        <w:tc>
          <w:tcPr>
            <w:tcW w:w="4829" w:type="dxa"/>
          </w:tcPr>
          <w:p>
            <w:pPr>
              <w:pStyle w:val="24"/>
              <w:bidi w:val="0"/>
              <w:rPr>
                <w:rFonts w:hint="default"/>
                <w:color w:val="auto"/>
                <w:lang w:val="en-US" w:eastAsia="zh-CN"/>
              </w:rPr>
            </w:pPr>
            <w:r>
              <w:rPr>
                <w:rFonts w:hint="eastAsia"/>
                <w:color w:val="auto"/>
                <w:lang w:val="en-US" w:eastAsia="zh-CN"/>
              </w:rPr>
              <w:t>构件类型</w:t>
            </w:r>
          </w:p>
        </w:tc>
        <w:tc>
          <w:tcPr>
            <w:tcW w:w="2841" w:type="dxa"/>
          </w:tcPr>
          <w:p>
            <w:pPr>
              <w:pStyle w:val="24"/>
              <w:bidi w:val="0"/>
              <w:rPr>
                <w:rFonts w:hint="default"/>
                <w:color w:val="auto"/>
                <w:lang w:val="en-US" w:eastAsia="zh-CN"/>
              </w:rPr>
            </w:pPr>
            <w:r>
              <w:rPr>
                <w:rFonts w:hint="eastAsia"/>
                <w:color w:val="auto"/>
                <w:lang w:val="en-US" w:eastAsia="zh-CN"/>
              </w:rPr>
              <w:t>长细比限值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1</w:t>
            </w:r>
          </w:p>
        </w:tc>
        <w:tc>
          <w:tcPr>
            <w:tcW w:w="4829" w:type="dxa"/>
          </w:tcPr>
          <w:p>
            <w:pPr>
              <w:pStyle w:val="24"/>
              <w:bidi w:val="0"/>
              <w:jc w:val="center"/>
              <w:rPr>
                <w:rFonts w:hint="default"/>
                <w:color w:val="auto"/>
                <w:lang w:val="en-US" w:eastAsia="zh-CN"/>
              </w:rPr>
            </w:pPr>
            <w:r>
              <w:rPr>
                <w:rFonts w:hint="default"/>
                <w:color w:val="auto"/>
                <w:lang w:val="en-US" w:eastAsia="zh-CN"/>
              </w:rPr>
              <w:t>结构的主要构件，包括</w:t>
            </w:r>
            <w:r>
              <w:rPr>
                <w:rFonts w:hint="eastAsia"/>
                <w:color w:val="auto"/>
                <w:lang w:val="en-US" w:eastAsia="zh-CN"/>
              </w:rPr>
              <w:t>桁架</w:t>
            </w:r>
            <w:r>
              <w:rPr>
                <w:rFonts w:hint="default"/>
                <w:color w:val="auto"/>
                <w:lang w:val="en-US" w:eastAsia="zh-CN"/>
              </w:rPr>
              <w:t>的弦杆、支座处的竖杆或斜杆，以及承重柱等</w:t>
            </w:r>
          </w:p>
        </w:tc>
        <w:tc>
          <w:tcPr>
            <w:tcW w:w="2841" w:type="dxa"/>
          </w:tcPr>
          <w:p>
            <w:pPr>
              <w:pStyle w:val="24"/>
              <w:bidi w:val="0"/>
              <w:rPr>
                <w:rFonts w:hint="default"/>
                <w:color w:val="auto"/>
                <w:lang w:val="en-US" w:eastAsia="zh-CN"/>
              </w:rPr>
            </w:pPr>
            <w:r>
              <w:rPr>
                <w:rFonts w:hint="eastAsia"/>
                <w:color w:val="auto"/>
                <w:lang w:val="en-US" w:eastAsia="zh-CN"/>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2</w:t>
            </w:r>
          </w:p>
        </w:tc>
        <w:tc>
          <w:tcPr>
            <w:tcW w:w="4829" w:type="dxa"/>
          </w:tcPr>
          <w:p>
            <w:pPr>
              <w:pStyle w:val="24"/>
              <w:bidi w:val="0"/>
              <w:rPr>
                <w:rFonts w:hint="default"/>
                <w:color w:val="auto"/>
                <w:lang w:val="en-US" w:eastAsia="zh-CN"/>
              </w:rPr>
            </w:pPr>
            <w:r>
              <w:rPr>
                <w:rFonts w:hint="eastAsia"/>
                <w:color w:val="auto"/>
                <w:lang w:val="en-US" w:eastAsia="zh-CN"/>
              </w:rPr>
              <w:t>一般构件</w:t>
            </w:r>
          </w:p>
        </w:tc>
        <w:tc>
          <w:tcPr>
            <w:tcW w:w="2841" w:type="dxa"/>
          </w:tcPr>
          <w:p>
            <w:pPr>
              <w:pStyle w:val="24"/>
              <w:bidi w:val="0"/>
              <w:rPr>
                <w:rFonts w:hint="default"/>
                <w:color w:val="auto"/>
                <w:lang w:val="en-US" w:eastAsia="zh-CN"/>
              </w:rPr>
            </w:pPr>
            <w:r>
              <w:rPr>
                <w:rFonts w:hint="eastAsia"/>
                <w:color w:val="auto"/>
                <w:lang w:val="en-US" w:eastAsia="zh-CN"/>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3</w:t>
            </w:r>
          </w:p>
        </w:tc>
        <w:tc>
          <w:tcPr>
            <w:tcW w:w="4829" w:type="dxa"/>
          </w:tcPr>
          <w:p>
            <w:pPr>
              <w:pStyle w:val="24"/>
              <w:bidi w:val="0"/>
              <w:rPr>
                <w:rFonts w:hint="default"/>
                <w:color w:val="auto"/>
                <w:lang w:val="en-US" w:eastAsia="zh-CN"/>
              </w:rPr>
            </w:pPr>
            <w:r>
              <w:rPr>
                <w:rFonts w:hint="eastAsia"/>
                <w:color w:val="auto"/>
                <w:lang w:val="en-US" w:eastAsia="zh-CN"/>
              </w:rPr>
              <w:t>支撑</w:t>
            </w:r>
          </w:p>
        </w:tc>
        <w:tc>
          <w:tcPr>
            <w:tcW w:w="2841" w:type="dxa"/>
          </w:tcPr>
          <w:p>
            <w:pPr>
              <w:pStyle w:val="24"/>
              <w:bidi w:val="0"/>
              <w:rPr>
                <w:rFonts w:hint="default"/>
                <w:color w:val="auto"/>
                <w:lang w:val="en-US" w:eastAsia="zh-CN"/>
              </w:rPr>
            </w:pPr>
            <w:r>
              <w:rPr>
                <w:rFonts w:hint="eastAsia"/>
                <w:color w:val="auto"/>
                <w:lang w:val="en-US" w:eastAsia="zh-CN"/>
              </w:rPr>
              <w:t>200</w:t>
            </w:r>
          </w:p>
        </w:tc>
      </w:tr>
    </w:tbl>
    <w:p>
      <w:pPr>
        <w:pStyle w:val="5"/>
        <w:bidi w:val="0"/>
        <w:ind w:left="0" w:leftChars="0" w:firstLine="0" w:firstLineChars="0"/>
        <w:rPr>
          <w:color w:val="auto"/>
        </w:rPr>
      </w:pPr>
      <w:r>
        <w:rPr>
          <w:rFonts w:hint="eastAsia"/>
          <w:color w:val="auto"/>
          <w:lang w:val="en-US" w:eastAsia="zh-CN"/>
        </w:rPr>
        <w:t xml:space="preserve">建筑突出屋面的烟囱、女儿墙等易倒塌构件的出屋面高度不应大于 </w:t>
      </w:r>
      <w:r>
        <w:rPr>
          <w:rFonts w:hint="default"/>
          <w:color w:val="auto"/>
          <w:lang w:val="en-US" w:eastAsia="zh-CN"/>
        </w:rPr>
        <w:t>600mm</w:t>
      </w:r>
      <w:r>
        <w:rPr>
          <w:rFonts w:hint="eastAsia"/>
          <w:color w:val="auto"/>
          <w:lang w:val="en-US" w:eastAsia="zh-CN"/>
        </w:rPr>
        <w:t>。</w:t>
      </w:r>
    </w:p>
    <w:p>
      <w:pPr>
        <w:pStyle w:val="5"/>
        <w:bidi w:val="0"/>
        <w:ind w:left="0" w:leftChars="0" w:firstLine="0" w:firstLineChars="0"/>
        <w:rPr>
          <w:rFonts w:hint="eastAsia"/>
          <w:color w:val="auto"/>
          <w:lang w:val="en-US" w:eastAsia="zh-CN"/>
        </w:rPr>
      </w:pPr>
      <w:r>
        <w:rPr>
          <w:rFonts w:hint="eastAsia"/>
          <w:color w:val="auto"/>
          <w:lang w:val="en-US" w:eastAsia="zh-CN"/>
        </w:rPr>
        <w:t>建筑局部倾斜值不大于柱高的1/100。</w:t>
      </w:r>
    </w:p>
    <w:p>
      <w:pPr>
        <w:pStyle w:val="5"/>
        <w:bidi w:val="0"/>
        <w:ind w:left="0" w:leftChars="0" w:firstLine="0" w:firstLineChars="0"/>
        <w:rPr>
          <w:rFonts w:hint="eastAsia"/>
          <w:color w:val="auto"/>
          <w:lang w:val="en-US" w:eastAsia="zh-CN"/>
        </w:rPr>
      </w:pPr>
      <w:r>
        <w:rPr>
          <w:rFonts w:hint="eastAsia"/>
          <w:color w:val="auto"/>
          <w:lang w:val="en-US" w:eastAsia="zh-CN"/>
        </w:rPr>
        <w:t>建筑顶点位移不大于结构顶点高度的1/200。</w:t>
      </w:r>
    </w:p>
    <w:p>
      <w:pPr>
        <w:rPr>
          <w:rFonts w:hint="eastAsia"/>
          <w:color w:val="auto"/>
          <w:lang w:val="en-US" w:eastAsia="zh-CN"/>
        </w:rPr>
      </w:pPr>
    </w:p>
    <w:p>
      <w:pPr>
        <w:pStyle w:val="29"/>
        <w:bidi w:val="0"/>
        <w:rPr>
          <w:rFonts w:hint="default"/>
          <w:color w:val="auto"/>
          <w:lang w:val="en-US" w:eastAsia="zh-CN"/>
        </w:rPr>
      </w:pPr>
      <w:r>
        <w:rPr>
          <w:rFonts w:hint="eastAsia"/>
          <w:color w:val="auto"/>
          <w:lang w:val="en-US" w:eastAsia="zh-CN"/>
        </w:rPr>
        <w:t>结构构件系统鉴定</w:t>
      </w:r>
    </w:p>
    <w:p>
      <w:pPr>
        <w:pStyle w:val="5"/>
        <w:bidi w:val="0"/>
        <w:ind w:left="0" w:leftChars="0" w:firstLine="0" w:firstLineChars="0"/>
        <w:rPr>
          <w:rFonts w:hint="eastAsia"/>
          <w:color w:val="auto"/>
          <w:lang w:val="en-US" w:eastAsia="zh-CN"/>
        </w:rPr>
      </w:pPr>
      <w:r>
        <w:rPr>
          <w:rFonts w:hint="eastAsia"/>
          <w:color w:val="auto"/>
          <w:lang w:val="en-US" w:eastAsia="zh-CN"/>
        </w:rPr>
        <w:t>木结构构件安全性鉴定，应根据构件</w:t>
      </w:r>
      <w:r>
        <w:rPr>
          <w:rFonts w:hint="eastAsia"/>
          <w:color w:val="auto"/>
          <w:lang w:eastAsia="zh-CN"/>
        </w:rPr>
        <w:t>位移变形</w:t>
      </w:r>
      <w:r>
        <w:rPr>
          <w:rFonts w:hint="eastAsia"/>
          <w:color w:val="auto"/>
          <w:lang w:val="en-US" w:eastAsia="zh-CN"/>
        </w:rPr>
        <w:t>、斜纹理或</w:t>
      </w:r>
      <w:r>
        <w:rPr>
          <w:rFonts w:hint="eastAsia"/>
          <w:color w:val="auto"/>
        </w:rPr>
        <w:t>裂缝</w:t>
      </w:r>
      <w:r>
        <w:rPr>
          <w:rFonts w:hint="eastAsia"/>
          <w:color w:val="auto"/>
          <w:lang w:eastAsia="zh-CN"/>
        </w:rPr>
        <w:t>、</w:t>
      </w:r>
      <w:r>
        <w:rPr>
          <w:rFonts w:hint="eastAsia"/>
          <w:color w:val="auto"/>
        </w:rPr>
        <w:t>腐朽</w:t>
      </w:r>
      <w:r>
        <w:rPr>
          <w:rFonts w:hint="eastAsia"/>
          <w:color w:val="auto"/>
          <w:lang w:val="en-US" w:eastAsia="zh-CN"/>
        </w:rPr>
        <w:t>或</w:t>
      </w:r>
      <w:r>
        <w:rPr>
          <w:rFonts w:hint="eastAsia"/>
          <w:color w:val="auto"/>
        </w:rPr>
        <w:t>虫蛀</w:t>
      </w:r>
      <w:r>
        <w:rPr>
          <w:rFonts w:hint="eastAsia"/>
          <w:color w:val="auto"/>
          <w:lang w:val="en-US" w:eastAsia="zh-CN"/>
        </w:rPr>
        <w:t>三个检查项目，必要时结合验算项目，按照本导则第6.6节和本节相关规定进行综合评级。</w:t>
      </w:r>
    </w:p>
    <w:p>
      <w:pPr>
        <w:pStyle w:val="5"/>
        <w:bidi w:val="0"/>
        <w:ind w:left="0" w:leftChars="0" w:firstLine="0" w:firstLineChars="0"/>
        <w:rPr>
          <w:rFonts w:hint="eastAsia"/>
          <w:color w:val="auto"/>
          <w:lang w:val="en-US" w:eastAsia="zh-CN"/>
        </w:rPr>
      </w:pPr>
      <w:bookmarkStart w:id="89" w:name="_Ref13316"/>
      <w:r>
        <w:rPr>
          <w:rFonts w:hint="eastAsia"/>
          <w:color w:val="auto"/>
          <w:lang w:val="en-US" w:eastAsia="zh-CN"/>
        </w:rPr>
        <w:t>当木结构构件的安全性按位移变形评级，符合下列规定：</w:t>
      </w:r>
      <w:bookmarkEnd w:id="89"/>
    </w:p>
    <w:p>
      <w:pPr>
        <w:pStyle w:val="36"/>
        <w:bidi w:val="0"/>
        <w:rPr>
          <w:rFonts w:hint="eastAsia"/>
          <w:color w:val="auto"/>
          <w:lang w:val="en-US" w:eastAsia="zh-CN"/>
        </w:rPr>
      </w:pPr>
      <w:r>
        <w:rPr>
          <w:rFonts w:hint="eastAsia"/>
          <w:color w:val="auto"/>
          <w:lang w:val="en-US" w:eastAsia="zh-CN"/>
        </w:rPr>
        <w:t>一般应按表</w:t>
      </w:r>
      <w:r>
        <w:rPr>
          <w:rFonts w:hint="eastAsia"/>
          <w:color w:val="auto"/>
          <w:lang w:val="en-US" w:eastAsia="zh-CN"/>
        </w:rPr>
        <w:fldChar w:fldCharType="begin"/>
      </w:r>
      <w:r>
        <w:rPr>
          <w:rFonts w:hint="eastAsia"/>
          <w:color w:val="auto"/>
          <w:lang w:val="en-US" w:eastAsia="zh-CN"/>
        </w:rPr>
        <w:instrText xml:space="preserve"> REF _Ref13316 \n \h </w:instrText>
      </w:r>
      <w:r>
        <w:rPr>
          <w:rFonts w:hint="eastAsia"/>
          <w:color w:val="auto"/>
          <w:lang w:val="en-US" w:eastAsia="zh-CN"/>
        </w:rPr>
        <w:fldChar w:fldCharType="separate"/>
      </w:r>
      <w:r>
        <w:rPr>
          <w:rFonts w:hint="eastAsia"/>
          <w:color w:val="auto"/>
          <w:lang w:val="en-US" w:eastAsia="zh-CN"/>
        </w:rPr>
        <w:t>7.5.17</w:t>
      </w:r>
      <w:r>
        <w:rPr>
          <w:rFonts w:hint="eastAsia"/>
          <w:color w:val="auto"/>
          <w:lang w:val="en-US" w:eastAsia="zh-CN"/>
        </w:rPr>
        <w:fldChar w:fldCharType="end"/>
      </w:r>
      <w:r>
        <w:rPr>
          <w:rFonts w:hint="eastAsia"/>
          <w:color w:val="auto"/>
          <w:lang w:val="en-US" w:eastAsia="zh-CN"/>
        </w:rPr>
        <w:t>中的规定评级；</w:t>
      </w:r>
    </w:p>
    <w:p>
      <w:pPr>
        <w:pStyle w:val="36"/>
        <w:bidi w:val="0"/>
        <w:rPr>
          <w:rFonts w:hint="default"/>
          <w:color w:val="auto"/>
          <w:lang w:val="en-US" w:eastAsia="zh-CN"/>
        </w:rPr>
      </w:pPr>
      <w:r>
        <w:rPr>
          <w:rFonts w:hint="eastAsia"/>
          <w:color w:val="auto"/>
          <w:lang w:val="en-US" w:eastAsia="zh-CN"/>
        </w:rPr>
        <w:t>当构件变形尚在发展时，应评为c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25"/>
        <w:bidi w:val="0"/>
        <w:rPr>
          <w:rFonts w:hint="default"/>
          <w:color w:val="auto"/>
          <w:lang w:val="en-US" w:eastAsia="zh-CN"/>
        </w:rPr>
      </w:pPr>
      <w:r>
        <w:rPr>
          <w:rFonts w:hint="eastAsia"/>
          <w:color w:val="auto"/>
        </w:rPr>
        <w:t>表</w:t>
      </w:r>
      <w:r>
        <w:rPr>
          <w:rFonts w:hint="eastAsia"/>
          <w:color w:val="auto"/>
          <w:lang w:val="en-US" w:eastAsia="zh-CN"/>
        </w:rPr>
        <w:fldChar w:fldCharType="begin"/>
      </w:r>
      <w:r>
        <w:rPr>
          <w:rFonts w:hint="eastAsia"/>
          <w:color w:val="auto"/>
          <w:lang w:val="en-US" w:eastAsia="zh-CN"/>
        </w:rPr>
        <w:instrText xml:space="preserve"> REF _Ref13316 \n \h </w:instrText>
      </w:r>
      <w:r>
        <w:rPr>
          <w:rFonts w:hint="eastAsia"/>
          <w:color w:val="auto"/>
          <w:lang w:val="en-US" w:eastAsia="zh-CN"/>
        </w:rPr>
        <w:fldChar w:fldCharType="separate"/>
      </w:r>
      <w:r>
        <w:rPr>
          <w:rFonts w:hint="eastAsia"/>
          <w:color w:val="auto"/>
          <w:lang w:val="en-US" w:eastAsia="zh-CN"/>
        </w:rPr>
        <w:t>7.5.17</w:t>
      </w:r>
      <w:r>
        <w:rPr>
          <w:rFonts w:hint="eastAsia"/>
          <w:color w:val="auto"/>
          <w:lang w:val="en-US" w:eastAsia="zh-CN"/>
        </w:rPr>
        <w:fldChar w:fldCharType="end"/>
      </w:r>
      <w:r>
        <w:rPr>
          <w:rFonts w:hint="eastAsia"/>
          <w:color w:val="auto"/>
        </w:rPr>
        <w:t xml:space="preserve"> 木结构构件的安全性</w:t>
      </w:r>
      <w:r>
        <w:rPr>
          <w:rFonts w:hint="eastAsia"/>
          <w:color w:val="auto"/>
          <w:lang w:val="en-US" w:eastAsia="zh-CN"/>
        </w:rPr>
        <w:t>按位移变形评级</w:t>
      </w:r>
    </w:p>
    <w:tbl>
      <w:tblPr>
        <w:tblStyle w:val="27"/>
        <w:tblW w:w="501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78"/>
        <w:gridCol w:w="2829"/>
        <w:gridCol w:w="41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2524" w:type="pct"/>
            <w:gridSpan w:val="2"/>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检查项目</w:t>
            </w:r>
          </w:p>
        </w:tc>
        <w:tc>
          <w:tcPr>
            <w:tcW w:w="2475" w:type="pct"/>
            <w:tcBorders>
              <w:left w:val="single" w:color="auto" w:sz="4" w:space="0"/>
            </w:tcBorders>
            <w:noWrap w:val="0"/>
            <w:vAlign w:val="center"/>
          </w:tcPr>
          <w:p>
            <w:pPr>
              <w:pStyle w:val="24"/>
              <w:bidi w:val="0"/>
              <w:jc w:val="center"/>
              <w:rPr>
                <w:rFonts w:hint="eastAsia"/>
                <w:color w:val="auto"/>
                <w:lang w:val="en-US"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val="en-US" w:eastAsia="zh-CN"/>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827" w:type="pct"/>
            <w:vMerge w:val="restart"/>
            <w:tcBorders>
              <w:bottom w:val="nil"/>
            </w:tcBorders>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挠度</w:t>
            </w:r>
          </w:p>
        </w:tc>
        <w:tc>
          <w:tcPr>
            <w:tcW w:w="1696" w:type="pct"/>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桁架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屋架、托架</w:t>
            </w:r>
          </w:p>
        </w:tc>
        <w:tc>
          <w:tcPr>
            <w:tcW w:w="2475" w:type="pct"/>
            <w:tcBorders>
              <w:left w:val="single" w:color="auto" w:sz="4" w:space="0"/>
            </w:tcBorders>
            <w:shd w:val="clear" w:color="auto" w:fill="auto"/>
            <w:noWrap w:val="0"/>
            <w:vAlign w:val="center"/>
          </w:tcPr>
          <w:p>
            <w:pPr>
              <w:pStyle w:val="24"/>
              <w:bidi w:val="0"/>
              <w:ind w:firstLine="0" w:firstLineChars="0"/>
              <w:jc w:val="center"/>
              <w:rPr>
                <w:rFonts w:hint="default" w:ascii="Times New Roman" w:hAnsi="Times New Roman" w:eastAsia="宋体" w:cs="Times New Roman"/>
                <w:color w:val="auto"/>
                <w:kern w:val="2"/>
                <w:sz w:val="21"/>
                <w:szCs w:val="21"/>
                <w:lang w:val="en-US" w:eastAsia="zh-CN" w:bidi="ar-SA"/>
                <w:oMath/>
              </w:rPr>
            </w:pPr>
            <w:r>
              <w:rPr>
                <w:rFonts w:hint="eastAsia"/>
                <w:color w:val="auto"/>
                <w:lang w:val="en-US" w:eastAsia="zh-CN"/>
              </w:rPr>
              <w:t xml:space="preserve">&gt; </w:t>
            </w:r>
            <m:oMath>
              <m:sSub>
                <m:sSubPr>
                  <m:ctrlPr>
                    <w:rPr>
                      <w:rFonts w:hint="default" w:ascii="Times New Roman" w:hAnsi="Times New Roman" w:eastAsia="宋体" w:cs="Times New Roman"/>
                      <w:color w:val="auto"/>
                      <w:sz w:val="21"/>
                      <w:szCs w:val="21"/>
                    </w:rPr>
                  </m:ctrlPr>
                </m:sSubPr>
                <m:e>
                  <m:r>
                    <m:rPr>
                      <m:sty m:val="p"/>
                    </m:rPr>
                    <w:rPr>
                      <w:rFonts w:hint="default" w:ascii="Cambria Math" w:hAnsi="Cambria Math" w:cs="Times New Roman"/>
                      <w:color w:val="auto"/>
                      <w:sz w:val="21"/>
                      <w:szCs w:val="21"/>
                      <w:lang w:val="en-US" w:eastAsia="zh-CN"/>
                    </w:rPr>
                    <m:t>l</m:t>
                  </m:r>
                  <m:ctrlPr>
                    <w:rPr>
                      <w:rFonts w:hint="default" w:ascii="Times New Roman" w:hAnsi="Times New Roman" w:eastAsia="宋体" w:cs="Times New Roman"/>
                      <w:color w:val="auto"/>
                      <w:sz w:val="21"/>
                      <w:szCs w:val="21"/>
                    </w:rPr>
                  </m:ctrlPr>
                </m:e>
                <m:sub>
                  <m:r>
                    <m:rPr>
                      <m:sty m:val="p"/>
                    </m:rPr>
                    <w:rPr>
                      <w:rFonts w:hint="default" w:ascii="Cambria Math" w:hAnsi="Cambria Math" w:cs="Times New Roman"/>
                      <w:color w:val="auto"/>
                      <w:sz w:val="21"/>
                      <w:szCs w:val="21"/>
                      <w:lang w:val="en-US" w:eastAsia="zh-CN"/>
                    </w:rPr>
                    <m:t>0</m:t>
                  </m:r>
                  <m:ctrlPr>
                    <w:rPr>
                      <w:rFonts w:hint="default" w:ascii="Times New Roman" w:hAnsi="Times New Roman" w:eastAsia="宋体" w:cs="Times New Roman"/>
                      <w:color w:val="auto"/>
                      <w:sz w:val="21"/>
                      <w:szCs w:val="21"/>
                    </w:rPr>
                  </m:ctrlPr>
                </m:sub>
              </m:sSub>
              <m:r>
                <m:rPr>
                  <m:sty m:val="p"/>
                </m:rPr>
                <w:rPr>
                  <w:rFonts w:hint="default" w:ascii="Cambria Math" w:hAnsi="Cambria Math" w:cs="Times New Roman"/>
                  <w:color w:val="auto"/>
                  <w:sz w:val="21"/>
                  <w:szCs w:val="21"/>
                  <w:lang w:val="en-US" w:eastAsia="zh-CN"/>
                </w:rPr>
                <m:t>/200</m:t>
              </m:r>
            </m:oMath>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827" w:type="pct"/>
            <w:vMerge w:val="continue"/>
            <w:tcBorders>
              <w:top w:val="nil"/>
              <w:bottom w:val="nil"/>
            </w:tcBorders>
            <w:noWrap w:val="0"/>
            <w:vAlign w:val="center"/>
          </w:tcPr>
          <w:p>
            <w:pPr>
              <w:pStyle w:val="24"/>
              <w:bidi w:val="0"/>
              <w:jc w:val="center"/>
              <w:rPr>
                <w:rFonts w:hint="eastAsia" w:ascii="宋体" w:hAnsi="宋体" w:eastAsia="宋体" w:cs="宋体"/>
                <w:color w:val="auto"/>
                <w:sz w:val="21"/>
                <w:szCs w:val="21"/>
              </w:rPr>
            </w:pPr>
          </w:p>
        </w:tc>
        <w:tc>
          <w:tcPr>
            <w:tcW w:w="1696" w:type="pct"/>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主梁</w:t>
            </w:r>
          </w:p>
        </w:tc>
        <w:tc>
          <w:tcPr>
            <w:tcW w:w="2475" w:type="pct"/>
            <w:tcBorders>
              <w:left w:val="single" w:color="auto" w:sz="4" w:space="0"/>
            </w:tcBorders>
            <w:shd w:val="clear" w:color="auto" w:fill="auto"/>
            <w:noWrap w:val="0"/>
            <w:vAlign w:val="center"/>
          </w:tcPr>
          <w:p>
            <w:pPr>
              <w:pStyle w:val="24"/>
              <w:bidi w:val="0"/>
              <w:ind w:firstLine="0" w:firstLineChars="0"/>
              <w:jc w:val="center"/>
              <w:rPr>
                <w:rFonts w:hint="default" w:ascii="Times New Roman" w:hAnsi="Times New Roman" w:eastAsia="宋体" w:cs="Times New Roman"/>
                <w:color w:val="auto"/>
                <w:kern w:val="2"/>
                <w:sz w:val="21"/>
                <w:szCs w:val="21"/>
                <w:lang w:val="en-US" w:eastAsia="en-US" w:bidi="ar-SA"/>
                <w:oMath/>
              </w:rPr>
            </w:pPr>
            <w:r>
              <w:rPr>
                <w:rFonts w:hint="eastAsia"/>
                <w:color w:val="auto"/>
                <w:lang w:val="en-US" w:eastAsia="zh-CN"/>
              </w:rPr>
              <w:t xml:space="preserve">&gt; </w:t>
            </w:r>
            <m:oMath>
              <m:sSubSup>
                <m:sSubSupPr>
                  <m:ctrlPr>
                    <w:rPr>
                      <w:rFonts w:hint="default" w:ascii="Times New Roman" w:hAnsi="Times New Roman" w:eastAsia="宋体" w:cs="Times New Roman"/>
                      <w:b w:val="0"/>
                      <w:i w:val="0"/>
                      <w:color w:val="auto"/>
                      <w:sz w:val="21"/>
                      <w:szCs w:val="21"/>
                    </w:rPr>
                  </m:ctrlPr>
                </m:sSubSupPr>
                <m:e>
                  <m:r>
                    <m:rPr>
                      <m:sty m:val="p"/>
                    </m:rPr>
                    <w:rPr>
                      <w:rFonts w:hint="default" w:ascii="Cambria Math" w:hAnsi="Cambria Math" w:cs="Times New Roman"/>
                      <w:color w:val="auto"/>
                      <w:sz w:val="21"/>
                      <w:szCs w:val="21"/>
                      <w:lang w:val="en-US" w:eastAsia="zh-CN"/>
                    </w:rPr>
                    <m:t>l</m:t>
                  </m:r>
                  <m:ctrlPr>
                    <w:rPr>
                      <w:rFonts w:hint="default" w:ascii="Times New Roman" w:hAnsi="Times New Roman" w:eastAsia="宋体" w:cs="Times New Roman"/>
                      <w:b w:val="0"/>
                      <w:i w:val="0"/>
                      <w:color w:val="auto"/>
                      <w:sz w:val="21"/>
                      <w:szCs w:val="21"/>
                    </w:rPr>
                  </m:ctrlPr>
                </m:e>
                <m:sub>
                  <m:r>
                    <m:rPr>
                      <m:sty m:val="p"/>
                    </m:rPr>
                    <w:rPr>
                      <w:rFonts w:hint="default" w:ascii="Cambria Math" w:hAnsi="Cambria Math" w:cs="Times New Roman"/>
                      <w:color w:val="auto"/>
                      <w:sz w:val="21"/>
                      <w:szCs w:val="21"/>
                      <w:lang w:val="en-US" w:eastAsia="zh-CN"/>
                    </w:rPr>
                    <m:t>0</m:t>
                  </m:r>
                  <m:ctrlPr>
                    <w:rPr>
                      <w:rFonts w:hint="default" w:ascii="Times New Roman" w:hAnsi="Times New Roman" w:eastAsia="宋体" w:cs="Times New Roman"/>
                      <w:b w:val="0"/>
                      <w:i w:val="0"/>
                      <w:color w:val="auto"/>
                      <w:sz w:val="21"/>
                      <w:szCs w:val="21"/>
                    </w:rPr>
                  </m:ctrlPr>
                </m:sub>
                <m:sup>
                  <m:r>
                    <m:rPr>
                      <m:sty m:val="p"/>
                    </m:rPr>
                    <w:rPr>
                      <w:rFonts w:hint="default" w:ascii="Cambria Math" w:hAnsi="Cambria Math" w:cs="Times New Roman"/>
                      <w:color w:val="auto"/>
                      <w:sz w:val="21"/>
                      <w:szCs w:val="21"/>
                      <w:lang w:val="en-US" w:eastAsia="zh-CN"/>
                    </w:rPr>
                    <m:t>2</m:t>
                  </m:r>
                  <m:ctrlPr>
                    <w:rPr>
                      <w:rFonts w:hint="default" w:ascii="Times New Roman" w:hAnsi="Times New Roman" w:eastAsia="宋体" w:cs="Times New Roman"/>
                      <w:b w:val="0"/>
                      <w:i w:val="0"/>
                      <w:color w:val="auto"/>
                      <w:sz w:val="21"/>
                      <w:szCs w:val="21"/>
                    </w:rPr>
                  </m:ctrlPr>
                </m:sup>
              </m:sSubSup>
              <m:r>
                <m:rPr>
                  <m:sty m:val="p"/>
                </m:rPr>
                <w:rPr>
                  <w:rFonts w:hint="default" w:ascii="Cambria Math" w:hAnsi="Cambria Math" w:cs="Times New Roman"/>
                  <w:color w:val="auto"/>
                  <w:sz w:val="21"/>
                  <w:szCs w:val="21"/>
                  <w:lang w:val="en-US" w:eastAsia="zh-CN"/>
                </w:rPr>
                <m:t>/(3000h)</m:t>
              </m:r>
              <m:r>
                <m:rPr>
                  <m:sty m:val="p"/>
                </m:rPr>
                <w:rPr>
                  <w:rFonts w:hint="eastAsia" w:ascii="Cambria Math" w:hAnsi="Cambria Math" w:cs="Times New Roman"/>
                  <w:color w:val="auto"/>
                  <w:sz w:val="21"/>
                  <w:szCs w:val="21"/>
                  <w:lang w:val="en-US" w:eastAsia="zh-CN"/>
                </w:rPr>
                <m:t>或</m:t>
              </m:r>
              <m:sSub>
                <m:sSubPr>
                  <m:ctrlPr>
                    <w:rPr>
                      <w:rFonts w:hint="default" w:ascii="Times New Roman" w:hAnsi="Times New Roman" w:eastAsia="宋体" w:cs="Times New Roman"/>
                      <w:color w:val="auto"/>
                      <w:sz w:val="21"/>
                      <w:szCs w:val="21"/>
                    </w:rPr>
                  </m:ctrlPr>
                </m:sSubPr>
                <m:e>
                  <m:r>
                    <m:rPr>
                      <m:sty m:val="p"/>
                    </m:rPr>
                    <w:rPr>
                      <w:rFonts w:hint="default" w:ascii="Cambria Math" w:hAnsi="Cambria Math" w:cs="Times New Roman"/>
                      <w:color w:val="auto"/>
                      <w:sz w:val="21"/>
                      <w:szCs w:val="21"/>
                      <w:lang w:val="en-US" w:eastAsia="zh-CN"/>
                    </w:rPr>
                    <m:t>l</m:t>
                  </m:r>
                  <m:ctrlPr>
                    <w:rPr>
                      <w:rFonts w:hint="default" w:ascii="Times New Roman" w:hAnsi="Times New Roman" w:eastAsia="宋体" w:cs="Times New Roman"/>
                      <w:color w:val="auto"/>
                      <w:sz w:val="21"/>
                      <w:szCs w:val="21"/>
                    </w:rPr>
                  </m:ctrlPr>
                </m:e>
                <m:sub>
                  <m:r>
                    <m:rPr>
                      <m:sty m:val="p"/>
                    </m:rPr>
                    <w:rPr>
                      <w:rFonts w:hint="default" w:ascii="Cambria Math" w:hAnsi="Cambria Math" w:cs="Times New Roman"/>
                      <w:color w:val="auto"/>
                      <w:sz w:val="21"/>
                      <w:szCs w:val="21"/>
                      <w:lang w:val="en-US" w:eastAsia="zh-CN"/>
                    </w:rPr>
                    <m:t>0</m:t>
                  </m:r>
                  <m:ctrlPr>
                    <w:rPr>
                      <w:rFonts w:hint="default" w:ascii="Times New Roman" w:hAnsi="Times New Roman" w:eastAsia="宋体" w:cs="Times New Roman"/>
                      <w:color w:val="auto"/>
                      <w:sz w:val="21"/>
                      <w:szCs w:val="21"/>
                    </w:rPr>
                  </m:ctrlPr>
                </m:sub>
              </m:sSub>
              <m:r>
                <m:rPr>
                  <m:sty m:val="p"/>
                </m:rPr>
                <w:rPr>
                  <w:rFonts w:hint="default" w:ascii="Cambria Math" w:hAnsi="Cambria Math" w:cs="Times New Roman"/>
                  <w:color w:val="auto"/>
                  <w:sz w:val="21"/>
                  <w:szCs w:val="21"/>
                  <w:lang w:val="en-US" w:eastAsia="zh-CN"/>
                </w:rPr>
                <m:t>/150</m:t>
              </m:r>
            </m:oMath>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8" w:hRule="atLeast"/>
        </w:trPr>
        <w:tc>
          <w:tcPr>
            <w:tcW w:w="827" w:type="pct"/>
            <w:vMerge w:val="continue"/>
            <w:tcBorders>
              <w:top w:val="nil"/>
              <w:bottom w:val="nil"/>
            </w:tcBorders>
            <w:noWrap w:val="0"/>
            <w:vAlign w:val="center"/>
          </w:tcPr>
          <w:p>
            <w:pPr>
              <w:pStyle w:val="24"/>
              <w:bidi w:val="0"/>
              <w:jc w:val="center"/>
              <w:rPr>
                <w:rFonts w:hint="eastAsia" w:ascii="宋体" w:hAnsi="宋体" w:eastAsia="宋体" w:cs="宋体"/>
                <w:color w:val="auto"/>
                <w:sz w:val="21"/>
                <w:szCs w:val="21"/>
              </w:rPr>
            </w:pPr>
          </w:p>
        </w:tc>
        <w:tc>
          <w:tcPr>
            <w:tcW w:w="1696" w:type="pct"/>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搁栅、檩条</w:t>
            </w:r>
          </w:p>
        </w:tc>
        <w:tc>
          <w:tcPr>
            <w:tcW w:w="2475" w:type="pct"/>
            <w:tcBorders>
              <w:left w:val="single" w:color="auto" w:sz="4" w:space="0"/>
            </w:tcBorders>
            <w:shd w:val="clear" w:color="auto" w:fill="auto"/>
            <w:noWrap w:val="0"/>
            <w:vAlign w:val="center"/>
          </w:tcPr>
          <w:p>
            <w:pPr>
              <w:pStyle w:val="24"/>
              <w:bidi w:val="0"/>
              <w:ind w:firstLine="0" w:firstLineChars="0"/>
              <w:jc w:val="center"/>
              <w:rPr>
                <w:rFonts w:hint="default" w:ascii="Times New Roman" w:hAnsi="Times New Roman" w:eastAsia="宋体" w:cs="Times New Roman"/>
                <w:color w:val="auto"/>
                <w:kern w:val="2"/>
                <w:sz w:val="21"/>
                <w:szCs w:val="21"/>
                <w:lang w:val="en-US" w:eastAsia="en-US" w:bidi="ar-SA"/>
                <w:oMath/>
              </w:rPr>
            </w:pPr>
            <w:r>
              <w:rPr>
                <w:rFonts w:hint="eastAsia"/>
                <w:color w:val="auto"/>
                <w:lang w:val="en-US" w:eastAsia="zh-CN"/>
              </w:rPr>
              <w:t xml:space="preserve">&gt; </w:t>
            </w:r>
            <m:oMath>
              <m:sSubSup>
                <m:sSubSupPr>
                  <m:ctrlPr>
                    <w:rPr>
                      <w:rFonts w:hint="default" w:ascii="Times New Roman" w:hAnsi="Times New Roman" w:eastAsia="宋体" w:cs="Times New Roman"/>
                      <w:b w:val="0"/>
                      <w:i w:val="0"/>
                      <w:color w:val="auto"/>
                      <w:sz w:val="21"/>
                      <w:szCs w:val="21"/>
                    </w:rPr>
                  </m:ctrlPr>
                </m:sSubSupPr>
                <m:e>
                  <m:r>
                    <m:rPr>
                      <m:sty m:val="p"/>
                    </m:rPr>
                    <w:rPr>
                      <w:rFonts w:hint="default" w:ascii="Cambria Math" w:hAnsi="Cambria Math" w:cs="Times New Roman"/>
                      <w:color w:val="auto"/>
                      <w:sz w:val="21"/>
                      <w:szCs w:val="21"/>
                      <w:lang w:val="en-US" w:eastAsia="zh-CN"/>
                    </w:rPr>
                    <m:t>l</m:t>
                  </m:r>
                  <m:ctrlPr>
                    <w:rPr>
                      <w:rFonts w:hint="default" w:ascii="Times New Roman" w:hAnsi="Times New Roman" w:eastAsia="宋体" w:cs="Times New Roman"/>
                      <w:b w:val="0"/>
                      <w:i w:val="0"/>
                      <w:color w:val="auto"/>
                      <w:sz w:val="21"/>
                      <w:szCs w:val="21"/>
                    </w:rPr>
                  </m:ctrlPr>
                </m:e>
                <m:sub>
                  <m:r>
                    <m:rPr>
                      <m:sty m:val="p"/>
                    </m:rPr>
                    <w:rPr>
                      <w:rFonts w:hint="default" w:ascii="Cambria Math" w:hAnsi="Cambria Math" w:cs="Times New Roman"/>
                      <w:color w:val="auto"/>
                      <w:sz w:val="21"/>
                      <w:szCs w:val="21"/>
                      <w:lang w:val="en-US" w:eastAsia="zh-CN"/>
                    </w:rPr>
                    <m:t>0</m:t>
                  </m:r>
                  <m:ctrlPr>
                    <w:rPr>
                      <w:rFonts w:hint="default" w:ascii="Times New Roman" w:hAnsi="Times New Roman" w:eastAsia="宋体" w:cs="Times New Roman"/>
                      <w:b w:val="0"/>
                      <w:i w:val="0"/>
                      <w:color w:val="auto"/>
                      <w:sz w:val="21"/>
                      <w:szCs w:val="21"/>
                    </w:rPr>
                  </m:ctrlPr>
                </m:sub>
                <m:sup>
                  <m:r>
                    <m:rPr>
                      <m:sty m:val="p"/>
                    </m:rPr>
                    <w:rPr>
                      <w:rFonts w:hint="default" w:ascii="Cambria Math" w:hAnsi="Cambria Math" w:cs="Times New Roman"/>
                      <w:color w:val="auto"/>
                      <w:sz w:val="21"/>
                      <w:szCs w:val="21"/>
                      <w:lang w:val="en-US" w:eastAsia="zh-CN"/>
                    </w:rPr>
                    <m:t>2</m:t>
                  </m:r>
                  <m:ctrlPr>
                    <w:rPr>
                      <w:rFonts w:hint="default" w:ascii="Times New Roman" w:hAnsi="Times New Roman" w:eastAsia="宋体" w:cs="Times New Roman"/>
                      <w:b w:val="0"/>
                      <w:i w:val="0"/>
                      <w:color w:val="auto"/>
                      <w:sz w:val="21"/>
                      <w:szCs w:val="21"/>
                    </w:rPr>
                  </m:ctrlPr>
                </m:sup>
              </m:sSubSup>
              <m:r>
                <m:rPr>
                  <m:sty m:val="p"/>
                </m:rPr>
                <w:rPr>
                  <w:rFonts w:hint="default" w:ascii="Cambria Math" w:hAnsi="Cambria Math" w:cs="Times New Roman"/>
                  <w:color w:val="auto"/>
                  <w:sz w:val="21"/>
                  <w:szCs w:val="21"/>
                  <w:lang w:val="en-US" w:eastAsia="zh-CN"/>
                </w:rPr>
                <m:t>/(2400h)</m:t>
              </m:r>
              <m:r>
                <m:rPr>
                  <m:sty m:val="p"/>
                </m:rPr>
                <w:rPr>
                  <w:rFonts w:hint="eastAsia" w:ascii="Cambria Math" w:hAnsi="Cambria Math" w:cs="Times New Roman"/>
                  <w:color w:val="auto"/>
                  <w:sz w:val="21"/>
                  <w:szCs w:val="21"/>
                  <w:lang w:val="en-US" w:eastAsia="zh-CN"/>
                </w:rPr>
                <m:t>或</m:t>
              </m:r>
              <m:sSub>
                <m:sSubPr>
                  <m:ctrlPr>
                    <w:rPr>
                      <w:rFonts w:hint="default" w:ascii="Times New Roman" w:hAnsi="Times New Roman" w:eastAsia="宋体" w:cs="Times New Roman"/>
                      <w:color w:val="auto"/>
                      <w:sz w:val="21"/>
                      <w:szCs w:val="21"/>
                    </w:rPr>
                  </m:ctrlPr>
                </m:sSubPr>
                <m:e>
                  <m:r>
                    <m:rPr>
                      <m:sty m:val="p"/>
                    </m:rPr>
                    <w:rPr>
                      <w:rFonts w:hint="default" w:ascii="Cambria Math" w:hAnsi="Cambria Math" w:cs="Times New Roman"/>
                      <w:color w:val="auto"/>
                      <w:sz w:val="21"/>
                      <w:szCs w:val="21"/>
                      <w:lang w:val="en-US" w:eastAsia="zh-CN"/>
                    </w:rPr>
                    <m:t>l</m:t>
                  </m:r>
                  <m:ctrlPr>
                    <w:rPr>
                      <w:rFonts w:hint="default" w:ascii="Times New Roman" w:hAnsi="Times New Roman" w:eastAsia="宋体" w:cs="Times New Roman"/>
                      <w:color w:val="auto"/>
                      <w:sz w:val="21"/>
                      <w:szCs w:val="21"/>
                    </w:rPr>
                  </m:ctrlPr>
                </m:e>
                <m:sub>
                  <m:r>
                    <m:rPr>
                      <m:sty m:val="p"/>
                    </m:rPr>
                    <w:rPr>
                      <w:rFonts w:hint="default" w:ascii="Cambria Math" w:hAnsi="Cambria Math" w:cs="Times New Roman"/>
                      <w:color w:val="auto"/>
                      <w:sz w:val="21"/>
                      <w:szCs w:val="21"/>
                      <w:lang w:val="en-US" w:eastAsia="zh-CN"/>
                    </w:rPr>
                    <m:t>0</m:t>
                  </m:r>
                  <m:ctrlPr>
                    <w:rPr>
                      <w:rFonts w:hint="default" w:ascii="Times New Roman" w:hAnsi="Times New Roman" w:eastAsia="宋体" w:cs="Times New Roman"/>
                      <w:color w:val="auto"/>
                      <w:sz w:val="21"/>
                      <w:szCs w:val="21"/>
                    </w:rPr>
                  </m:ctrlPr>
                </m:sub>
              </m:sSub>
              <m:r>
                <m:rPr>
                  <m:sty m:val="p"/>
                </m:rPr>
                <w:rPr>
                  <w:rFonts w:hint="default" w:ascii="Cambria Math" w:hAnsi="Cambria Math" w:cs="Times New Roman"/>
                  <w:color w:val="auto"/>
                  <w:sz w:val="21"/>
                  <w:szCs w:val="21"/>
                  <w:lang w:val="en-US" w:eastAsia="zh-CN"/>
                </w:rPr>
                <m:t>/120</m:t>
              </m:r>
            </m:oMath>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827" w:type="pct"/>
            <w:vMerge w:val="continue"/>
            <w:tcBorders>
              <w:top w:val="nil"/>
            </w:tcBorders>
            <w:noWrap w:val="0"/>
            <w:vAlign w:val="center"/>
          </w:tcPr>
          <w:p>
            <w:pPr>
              <w:pStyle w:val="24"/>
              <w:bidi w:val="0"/>
              <w:jc w:val="center"/>
              <w:rPr>
                <w:rFonts w:hint="eastAsia" w:ascii="宋体" w:hAnsi="宋体" w:eastAsia="宋体" w:cs="宋体"/>
                <w:color w:val="auto"/>
                <w:sz w:val="21"/>
                <w:szCs w:val="21"/>
              </w:rPr>
            </w:pPr>
          </w:p>
        </w:tc>
        <w:tc>
          <w:tcPr>
            <w:tcW w:w="1696" w:type="pct"/>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椽条</w:t>
            </w:r>
          </w:p>
        </w:tc>
        <w:tc>
          <w:tcPr>
            <w:tcW w:w="2475" w:type="pct"/>
            <w:tcBorders>
              <w:left w:val="single" w:color="auto" w:sz="4" w:space="0"/>
            </w:tcBorders>
            <w:shd w:val="clear" w:color="auto" w:fill="auto"/>
            <w:noWrap w:val="0"/>
            <w:vAlign w:val="center"/>
          </w:tcPr>
          <w:p>
            <w:pPr>
              <w:pStyle w:val="24"/>
              <w:bidi w:val="0"/>
              <w:ind w:firstLine="0" w:firstLineChars="0"/>
              <w:jc w:val="center"/>
              <w:rPr>
                <w:rFonts w:hint="default" w:ascii="Times New Roman" w:hAnsi="Times New Roman" w:eastAsia="宋体" w:cs="Times New Roman"/>
                <w:color w:val="auto"/>
                <w:kern w:val="2"/>
                <w:sz w:val="21"/>
                <w:szCs w:val="21"/>
                <w:lang w:val="en-US" w:eastAsia="en-US" w:bidi="ar-SA"/>
                <w:oMath/>
              </w:rPr>
            </w:pPr>
            <w:r>
              <w:rPr>
                <w:rFonts w:hint="eastAsia"/>
                <w:color w:val="auto"/>
                <w:lang w:val="en-US" w:eastAsia="zh-CN"/>
              </w:rPr>
              <w:t xml:space="preserve">&gt; </w:t>
            </w:r>
            <m:oMath>
              <m:sSub>
                <m:sSubPr>
                  <m:ctrlPr>
                    <w:rPr>
                      <w:rFonts w:hint="default" w:ascii="Times New Roman" w:hAnsi="Times New Roman" w:eastAsia="宋体" w:cs="Times New Roman"/>
                      <w:color w:val="auto"/>
                      <w:sz w:val="21"/>
                      <w:szCs w:val="21"/>
                    </w:rPr>
                  </m:ctrlPr>
                </m:sSubPr>
                <m:e>
                  <m:r>
                    <m:rPr>
                      <m:sty m:val="p"/>
                    </m:rPr>
                    <w:rPr>
                      <w:rFonts w:hint="default" w:ascii="Cambria Math" w:hAnsi="Cambria Math" w:cs="Times New Roman"/>
                      <w:color w:val="auto"/>
                      <w:sz w:val="21"/>
                      <w:szCs w:val="21"/>
                      <w:lang w:val="en-US" w:eastAsia="zh-CN"/>
                    </w:rPr>
                    <m:t>l</m:t>
                  </m:r>
                  <m:ctrlPr>
                    <w:rPr>
                      <w:rFonts w:hint="default" w:ascii="Times New Roman" w:hAnsi="Times New Roman" w:eastAsia="宋体" w:cs="Times New Roman"/>
                      <w:color w:val="auto"/>
                      <w:sz w:val="21"/>
                      <w:szCs w:val="21"/>
                    </w:rPr>
                  </m:ctrlPr>
                </m:e>
                <m:sub>
                  <m:r>
                    <m:rPr>
                      <m:sty m:val="p"/>
                    </m:rPr>
                    <w:rPr>
                      <w:rFonts w:hint="default" w:ascii="Cambria Math" w:hAnsi="Cambria Math" w:cs="Times New Roman"/>
                      <w:color w:val="auto"/>
                      <w:sz w:val="21"/>
                      <w:szCs w:val="21"/>
                      <w:lang w:val="en-US" w:eastAsia="zh-CN"/>
                    </w:rPr>
                    <m:t>0</m:t>
                  </m:r>
                  <m:ctrlPr>
                    <w:rPr>
                      <w:rFonts w:hint="default" w:ascii="Times New Roman" w:hAnsi="Times New Roman" w:eastAsia="宋体" w:cs="Times New Roman"/>
                      <w:color w:val="auto"/>
                      <w:sz w:val="21"/>
                      <w:szCs w:val="21"/>
                    </w:rPr>
                  </m:ctrlPr>
                </m:sub>
              </m:sSub>
              <m:r>
                <m:rPr>
                  <m:sty m:val="p"/>
                </m:rPr>
                <w:rPr>
                  <w:rFonts w:hint="default" w:ascii="Cambria Math" w:hAnsi="Cambria Math" w:cs="Times New Roman"/>
                  <w:color w:val="auto"/>
                  <w:sz w:val="21"/>
                  <w:szCs w:val="21"/>
                  <w:lang w:val="en-US" w:eastAsia="zh-CN"/>
                </w:rPr>
                <m:t>/100</m:t>
              </m:r>
            </m:oMath>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或已劈裂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827" w:type="pct"/>
            <w:vMerge w:val="restart"/>
            <w:tcBorders>
              <w:bottom w:val="nil"/>
            </w:tcBorders>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侧向弯曲的矢高</w:t>
            </w:r>
          </w:p>
        </w:tc>
        <w:tc>
          <w:tcPr>
            <w:tcW w:w="1696" w:type="pct"/>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柱或其他受压构件</w:t>
            </w:r>
          </w:p>
        </w:tc>
        <w:tc>
          <w:tcPr>
            <w:tcW w:w="2475" w:type="pct"/>
            <w:tcBorders>
              <w:left w:val="single" w:color="auto" w:sz="4" w:space="0"/>
            </w:tcBorders>
            <w:shd w:val="clear" w:color="auto" w:fill="auto"/>
            <w:noWrap w:val="0"/>
            <w:vAlign w:val="center"/>
          </w:tcPr>
          <w:p>
            <w:pPr>
              <w:pStyle w:val="24"/>
              <w:bidi w:val="0"/>
              <w:ind w:firstLine="0" w:firstLineChars="0"/>
              <w:jc w:val="center"/>
              <w:rPr>
                <w:rFonts w:hint="default" w:ascii="Times New Roman" w:hAnsi="Times New Roman" w:eastAsia="宋体" w:cs="Times New Roman"/>
                <w:color w:val="auto"/>
                <w:kern w:val="2"/>
                <w:sz w:val="21"/>
                <w:szCs w:val="21"/>
                <w:lang w:val="en-US" w:eastAsia="en-US" w:bidi="ar-SA"/>
                <w:oMath/>
              </w:rPr>
            </w:pPr>
            <w:r>
              <w:rPr>
                <w:rFonts w:hint="eastAsia"/>
                <w:color w:val="auto"/>
                <w:lang w:val="en-US" w:eastAsia="zh-CN"/>
              </w:rPr>
              <w:t xml:space="preserve">&gt; </w:t>
            </w:r>
            <m:oMath>
              <m:sSub>
                <m:sSubPr>
                  <m:ctrlPr>
                    <w:rPr>
                      <w:rFonts w:hint="default" w:ascii="Times New Roman" w:hAnsi="Times New Roman" w:eastAsia="宋体" w:cs="Times New Roman"/>
                      <w:color w:val="auto"/>
                      <w:sz w:val="21"/>
                      <w:szCs w:val="21"/>
                    </w:rPr>
                  </m:ctrlPr>
                </m:sSubPr>
                <m:e>
                  <m:r>
                    <m:rPr>
                      <m:sty m:val="p"/>
                    </m:rPr>
                    <w:rPr>
                      <w:rFonts w:hint="default" w:ascii="Cambria Math" w:hAnsi="Cambria Math" w:cs="Times New Roman"/>
                      <w:color w:val="auto"/>
                      <w:sz w:val="21"/>
                      <w:szCs w:val="21"/>
                      <w:lang w:val="en-US" w:eastAsia="zh-CN"/>
                    </w:rPr>
                    <m:t>l</m:t>
                  </m:r>
                  <m:ctrlPr>
                    <w:rPr>
                      <w:rFonts w:hint="default" w:ascii="Times New Roman" w:hAnsi="Times New Roman" w:eastAsia="宋体" w:cs="Times New Roman"/>
                      <w:color w:val="auto"/>
                      <w:sz w:val="21"/>
                      <w:szCs w:val="21"/>
                    </w:rPr>
                  </m:ctrlPr>
                </m:e>
                <m:sub>
                  <m:r>
                    <m:rPr>
                      <m:sty m:val="p"/>
                    </m:rPr>
                    <w:rPr>
                      <w:rFonts w:hint="default" w:ascii="Cambria Math" w:hAnsi="Cambria Math" w:cs="Times New Roman"/>
                      <w:color w:val="auto"/>
                      <w:sz w:val="21"/>
                      <w:szCs w:val="21"/>
                      <w:lang w:val="en-US" w:eastAsia="zh-CN"/>
                    </w:rPr>
                    <m:t>0</m:t>
                  </m:r>
                  <m:ctrlPr>
                    <w:rPr>
                      <w:rFonts w:hint="default" w:ascii="Times New Roman" w:hAnsi="Times New Roman" w:eastAsia="宋体" w:cs="Times New Roman"/>
                      <w:color w:val="auto"/>
                      <w:sz w:val="21"/>
                      <w:szCs w:val="21"/>
                    </w:rPr>
                  </m:ctrlPr>
                </m:sub>
              </m:sSub>
              <m:r>
                <m:rPr>
                  <m:sty m:val="p"/>
                </m:rPr>
                <w:rPr>
                  <w:rFonts w:hint="default" w:ascii="Cambria Math" w:hAnsi="Cambria Math" w:cs="Times New Roman"/>
                  <w:color w:val="auto"/>
                  <w:sz w:val="21"/>
                  <w:szCs w:val="21"/>
                  <w:lang w:val="en-US" w:eastAsia="zh-CN"/>
                </w:rPr>
                <m:t>/200</m:t>
              </m:r>
            </m:oMath>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827" w:type="pct"/>
            <w:vMerge w:val="continue"/>
            <w:tcBorders>
              <w:top w:val="nil"/>
            </w:tcBorders>
            <w:noWrap w:val="0"/>
            <w:vAlign w:val="center"/>
          </w:tcPr>
          <w:p>
            <w:pPr>
              <w:pStyle w:val="24"/>
              <w:bidi w:val="0"/>
              <w:jc w:val="center"/>
              <w:rPr>
                <w:rFonts w:hint="eastAsia" w:ascii="宋体" w:hAnsi="宋体" w:eastAsia="宋体" w:cs="宋体"/>
                <w:color w:val="auto"/>
                <w:sz w:val="21"/>
                <w:szCs w:val="21"/>
              </w:rPr>
            </w:pPr>
          </w:p>
        </w:tc>
        <w:tc>
          <w:tcPr>
            <w:tcW w:w="1696" w:type="pct"/>
            <w:noWrap w:val="0"/>
            <w:vAlign w:val="center"/>
          </w:tcPr>
          <w:p>
            <w:pPr>
              <w:pStyle w:val="24"/>
              <w:bidi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矩形截面梁</w:t>
            </w:r>
          </w:p>
        </w:tc>
        <w:tc>
          <w:tcPr>
            <w:tcW w:w="2475" w:type="pct"/>
            <w:tcBorders>
              <w:left w:val="single" w:color="auto" w:sz="4" w:space="0"/>
            </w:tcBorders>
            <w:shd w:val="clear" w:color="auto" w:fill="auto"/>
            <w:noWrap w:val="0"/>
            <w:vAlign w:val="center"/>
          </w:tcPr>
          <w:p>
            <w:pPr>
              <w:pStyle w:val="24"/>
              <w:bidi w:val="0"/>
              <w:ind w:firstLine="0" w:firstLineChars="0"/>
              <w:jc w:val="center"/>
              <w:rPr>
                <w:rFonts w:hint="default" w:ascii="Times New Roman" w:hAnsi="Times New Roman" w:eastAsia="宋体" w:cs="Times New Roman"/>
                <w:color w:val="auto"/>
                <w:kern w:val="2"/>
                <w:sz w:val="21"/>
                <w:szCs w:val="21"/>
                <w:lang w:val="en-US" w:eastAsia="en-US" w:bidi="ar-SA"/>
                <w:oMath/>
              </w:rPr>
            </w:pPr>
            <w:r>
              <w:rPr>
                <w:rFonts w:hint="eastAsia"/>
                <w:color w:val="auto"/>
                <w:lang w:val="en-US" w:eastAsia="zh-CN"/>
              </w:rPr>
              <w:t xml:space="preserve">&gt; </w:t>
            </w:r>
            <m:oMath>
              <m:sSub>
                <m:sSubPr>
                  <m:ctrlPr>
                    <w:rPr>
                      <w:rFonts w:hint="default" w:ascii="Times New Roman" w:hAnsi="Times New Roman" w:eastAsia="宋体" w:cs="Times New Roman"/>
                      <w:color w:val="auto"/>
                      <w:sz w:val="21"/>
                      <w:szCs w:val="21"/>
                    </w:rPr>
                  </m:ctrlPr>
                </m:sSubPr>
                <m:e>
                  <m:r>
                    <m:rPr>
                      <m:sty m:val="p"/>
                    </m:rPr>
                    <w:rPr>
                      <w:rFonts w:hint="default" w:ascii="Cambria Math" w:hAnsi="Cambria Math" w:cs="Times New Roman"/>
                      <w:color w:val="auto"/>
                      <w:sz w:val="21"/>
                      <w:szCs w:val="21"/>
                      <w:lang w:val="en-US" w:eastAsia="zh-CN"/>
                    </w:rPr>
                    <m:t>l</m:t>
                  </m:r>
                  <m:ctrlPr>
                    <w:rPr>
                      <w:rFonts w:hint="default" w:ascii="Times New Roman" w:hAnsi="Times New Roman" w:eastAsia="宋体" w:cs="Times New Roman"/>
                      <w:color w:val="auto"/>
                      <w:sz w:val="21"/>
                      <w:szCs w:val="21"/>
                    </w:rPr>
                  </m:ctrlPr>
                </m:e>
                <m:sub>
                  <m:r>
                    <m:rPr>
                      <m:sty m:val="p"/>
                    </m:rPr>
                    <w:rPr>
                      <w:rFonts w:hint="default" w:ascii="Cambria Math" w:hAnsi="Cambria Math" w:cs="Times New Roman"/>
                      <w:color w:val="auto"/>
                      <w:sz w:val="21"/>
                      <w:szCs w:val="21"/>
                      <w:lang w:val="en-US" w:eastAsia="zh-CN"/>
                    </w:rPr>
                    <m:t>0</m:t>
                  </m:r>
                  <m:ctrlPr>
                    <w:rPr>
                      <w:rFonts w:hint="default" w:ascii="Times New Roman" w:hAnsi="Times New Roman" w:eastAsia="宋体" w:cs="Times New Roman"/>
                      <w:color w:val="auto"/>
                      <w:sz w:val="21"/>
                      <w:szCs w:val="21"/>
                    </w:rPr>
                  </m:ctrlPr>
                </m:sub>
              </m:sSub>
              <m:r>
                <m:rPr>
                  <m:sty m:val="p"/>
                </m:rPr>
                <w:rPr>
                  <w:rFonts w:hint="default" w:ascii="Cambria Math" w:hAnsi="Cambria Math" w:cs="Times New Roman"/>
                  <w:color w:val="auto"/>
                  <w:sz w:val="21"/>
                  <w:szCs w:val="21"/>
                  <w:lang w:val="en-US" w:eastAsia="zh-CN"/>
                </w:rPr>
                <m:t>/150</m:t>
              </m:r>
            </m:oMath>
          </w:p>
        </w:tc>
      </w:tr>
    </w:tbl>
    <w:p>
      <w:pPr>
        <w:pStyle w:val="39"/>
        <w:bidi w:val="0"/>
        <w:rPr>
          <w:rFonts w:hint="eastAsia"/>
          <w:color w:val="auto"/>
        </w:rPr>
      </w:pPr>
      <w:r>
        <w:rPr>
          <w:rFonts w:hint="eastAsia"/>
          <w:color w:val="auto"/>
        </w:rPr>
        <w:t>注：1</w:t>
      </w:r>
      <w:r>
        <w:rPr>
          <w:rFonts w:hint="eastAsia"/>
          <w:color w:val="auto"/>
          <w:lang w:val="en-US" w:eastAsia="zh-CN"/>
        </w:rPr>
        <w:t xml:space="preserve"> </w:t>
      </w:r>
      <w:r>
        <w:rPr>
          <w:rFonts w:hint="eastAsia"/>
          <w:color w:val="auto"/>
        </w:rPr>
        <w:t>表中</w:t>
      </w:r>
      <m:oMath>
        <m:sSub>
          <m:sSubPr>
            <m:ctrlPr>
              <w:rPr>
                <w:rFonts w:hint="default" w:ascii="Cambria Math" w:hAnsi="Cambria Math"/>
                <w:color w:val="auto"/>
              </w:rPr>
            </m:ctrlPr>
          </m:sSubPr>
          <m:e>
            <m:r>
              <m:rPr>
                <m:sty m:val="p"/>
              </m:rPr>
              <w:rPr>
                <w:rFonts w:hint="default" w:ascii="Times New Roman" w:hAnsi="Times New Roman"/>
                <w:color w:val="auto"/>
                <w:lang w:val="en-US" w:eastAsia="zh-CN"/>
              </w:rPr>
              <m:t>l</m:t>
            </m:r>
            <m:ctrlPr>
              <w:rPr>
                <w:rFonts w:hint="default" w:ascii="Cambria Math" w:hAnsi="Cambria Math"/>
                <w:color w:val="auto"/>
              </w:rPr>
            </m:ctrlPr>
          </m:e>
          <m:sub>
            <m:r>
              <m:rPr>
                <m:sty m:val="p"/>
              </m:rPr>
              <w:rPr>
                <w:rFonts w:hint="default" w:ascii="Times New Roman" w:hAnsi="Times New Roman"/>
                <w:color w:val="auto"/>
                <w:lang w:val="en-US" w:eastAsia="zh-CN"/>
              </w:rPr>
              <m:t>0</m:t>
            </m:r>
            <m:ctrlPr>
              <w:rPr>
                <w:rFonts w:hint="default" w:ascii="Cambria Math" w:hAnsi="Cambria Math"/>
                <w:color w:val="auto"/>
              </w:rPr>
            </m:ctrlPr>
          </m:sub>
        </m:sSub>
      </m:oMath>
      <w:r>
        <w:rPr>
          <w:rFonts w:hint="eastAsia"/>
          <w:color w:val="auto"/>
        </w:rPr>
        <w:t>为计算跨度；h为截面高度；</w:t>
      </w:r>
    </w:p>
    <w:p>
      <w:pPr>
        <w:pStyle w:val="38"/>
        <w:bidi w:val="0"/>
        <w:rPr>
          <w:rFonts w:hint="eastAsia"/>
          <w:color w:val="auto"/>
        </w:rPr>
      </w:pPr>
      <w:r>
        <w:rPr>
          <w:rFonts w:hint="eastAsia"/>
          <w:color w:val="auto"/>
        </w:rPr>
        <w:t>2</w:t>
      </w:r>
      <w:r>
        <w:rPr>
          <w:rFonts w:hint="eastAsia"/>
          <w:color w:val="auto"/>
          <w:lang w:val="en-US" w:eastAsia="zh-CN"/>
        </w:rPr>
        <w:t xml:space="preserve"> </w:t>
      </w:r>
      <w:r>
        <w:rPr>
          <w:rFonts w:hint="eastAsia"/>
          <w:color w:val="auto"/>
        </w:rPr>
        <w:t>表中的侧向弯曲</w:t>
      </w:r>
      <w:r>
        <w:rPr>
          <w:rFonts w:hint="eastAsia"/>
          <w:color w:val="auto"/>
          <w:lang w:eastAsia="zh-CN"/>
        </w:rPr>
        <w:t>，</w:t>
      </w:r>
      <w:r>
        <w:rPr>
          <w:rFonts w:hint="eastAsia"/>
          <w:color w:val="auto"/>
        </w:rPr>
        <w:t>主要是由木材生长原因或干燥、施工不当所引起的。</w:t>
      </w:r>
    </w:p>
    <w:p>
      <w:pPr>
        <w:pStyle w:val="5"/>
        <w:bidi w:val="0"/>
        <w:ind w:left="0" w:leftChars="0" w:firstLine="0" w:firstLineChars="0"/>
        <w:rPr>
          <w:rFonts w:hint="eastAsia"/>
          <w:color w:val="auto"/>
        </w:rPr>
      </w:pPr>
      <w:bookmarkStart w:id="90" w:name="_Ref31663"/>
      <w:r>
        <w:rPr>
          <w:rFonts w:hint="eastAsia"/>
          <w:color w:val="auto"/>
          <w:lang w:val="en-US" w:eastAsia="zh-CN"/>
        </w:rPr>
        <w:t>当木构件的安全性按斜纹理或斜裂缝的斜率评级，应符合下列规定</w:t>
      </w:r>
      <w:r>
        <w:rPr>
          <w:rFonts w:hint="eastAsia"/>
          <w:color w:val="auto"/>
        </w:rPr>
        <w:t>。</w:t>
      </w:r>
      <w:bookmarkEnd w:id="90"/>
    </w:p>
    <w:p>
      <w:pPr>
        <w:pStyle w:val="25"/>
        <w:bidi w:val="0"/>
        <w:rPr>
          <w:rFonts w:hint="eastAsia"/>
          <w:color w:val="auto"/>
          <w:lang w:eastAsia="zh-CN"/>
        </w:rPr>
      </w:pPr>
      <w:r>
        <w:rPr>
          <w:rFonts w:hint="eastAsia"/>
          <w:color w:val="auto"/>
        </w:rPr>
        <w:t>表</w:t>
      </w:r>
      <w:r>
        <w:rPr>
          <w:rFonts w:hint="eastAsia"/>
          <w:color w:val="auto"/>
          <w:lang w:eastAsia="zh-CN"/>
        </w:rPr>
        <w:fldChar w:fldCharType="begin"/>
      </w:r>
      <w:r>
        <w:rPr>
          <w:rFonts w:hint="eastAsia"/>
          <w:color w:val="auto"/>
          <w:lang w:eastAsia="zh-CN"/>
        </w:rPr>
        <w:instrText xml:space="preserve"> REF _Ref31663 \n \h </w:instrText>
      </w:r>
      <w:r>
        <w:rPr>
          <w:rFonts w:hint="eastAsia"/>
          <w:color w:val="auto"/>
          <w:lang w:eastAsia="zh-CN"/>
        </w:rPr>
        <w:fldChar w:fldCharType="separate"/>
      </w:r>
      <w:r>
        <w:rPr>
          <w:rFonts w:hint="eastAsia"/>
          <w:color w:val="auto"/>
          <w:lang w:eastAsia="zh-CN"/>
        </w:rPr>
        <w:t>7.5.18</w:t>
      </w:r>
      <w:r>
        <w:rPr>
          <w:rFonts w:hint="eastAsia"/>
          <w:color w:val="auto"/>
          <w:lang w:eastAsia="zh-CN"/>
        </w:rPr>
        <w:fldChar w:fldCharType="end"/>
      </w:r>
      <w:r>
        <w:rPr>
          <w:rFonts w:hint="eastAsia"/>
          <w:color w:val="auto"/>
        </w:rPr>
        <w:t xml:space="preserve"> 木结构构件的安全性按</w:t>
      </w:r>
      <w:r>
        <w:rPr>
          <w:rFonts w:hint="eastAsia"/>
          <w:color w:val="auto"/>
          <w:lang w:val="en-US" w:eastAsia="zh-CN"/>
        </w:rPr>
        <w:t>斜纹理或斜裂缝的斜率</w:t>
      </w:r>
      <w:r>
        <w:rPr>
          <w:rFonts w:hint="eastAsia"/>
          <w:color w:val="auto"/>
          <w:lang w:eastAsia="zh-CN"/>
        </w:rPr>
        <w:t>评级</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4554"/>
        <w:gridCol w:w="3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项次</w:t>
            </w:r>
          </w:p>
        </w:tc>
        <w:tc>
          <w:tcPr>
            <w:tcW w:w="4554" w:type="dxa"/>
          </w:tcPr>
          <w:p>
            <w:pPr>
              <w:pStyle w:val="24"/>
              <w:bidi w:val="0"/>
              <w:rPr>
                <w:rFonts w:hint="default"/>
                <w:color w:val="auto"/>
                <w:lang w:val="en-US" w:eastAsia="zh-CN"/>
              </w:rPr>
            </w:pPr>
            <w:r>
              <w:rPr>
                <w:rFonts w:hint="eastAsia"/>
                <w:color w:val="auto"/>
                <w:lang w:val="en-US" w:eastAsia="zh-CN"/>
              </w:rPr>
              <w:t>构件类型</w:t>
            </w:r>
          </w:p>
        </w:tc>
        <w:tc>
          <w:tcPr>
            <w:tcW w:w="3116" w:type="dxa"/>
          </w:tcPr>
          <w:p>
            <w:pPr>
              <w:pStyle w:val="24"/>
              <w:bidi w:val="0"/>
              <w:rPr>
                <w:rFonts w:hint="default"/>
                <w:color w:val="auto"/>
                <w:lang w:val="en-US" w:eastAsia="zh-CN"/>
              </w:rPr>
            </w:pPr>
            <w:r>
              <w:rPr>
                <w:rFonts w:hint="eastAsia" w:hAnsi="Cambria Math" w:cs="宋体"/>
                <w:color w:val="auto"/>
                <w:kern w:val="0"/>
                <w:sz w:val="24"/>
                <w:szCs w:val="24"/>
                <w:vertAlign w:val="subscript"/>
                <w:lang w:val="en-US" w:eastAsia="zh-CN" w:bidi="ar"/>
              </w:rPr>
              <w:t>cu</w:t>
            </w:r>
            <w:r>
              <w:rPr>
                <w:rFonts w:hint="eastAsia"/>
                <w:color w:val="auto"/>
                <w:lang w:val="en-US" w:eastAsia="zh-CN"/>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1</w:t>
            </w:r>
          </w:p>
        </w:tc>
        <w:tc>
          <w:tcPr>
            <w:tcW w:w="4554" w:type="dxa"/>
          </w:tcPr>
          <w:p>
            <w:pPr>
              <w:pStyle w:val="24"/>
              <w:bidi w:val="0"/>
              <w:jc w:val="center"/>
              <w:rPr>
                <w:rFonts w:hint="default"/>
                <w:color w:val="auto"/>
                <w:lang w:val="en-US" w:eastAsia="zh-CN"/>
              </w:rPr>
            </w:pPr>
            <w:r>
              <w:rPr>
                <w:rFonts w:hint="eastAsia"/>
                <w:color w:val="auto"/>
                <w:lang w:val="en-US" w:eastAsia="zh-CN"/>
              </w:rPr>
              <w:t>受拉构件及拉弯构件</w:t>
            </w:r>
          </w:p>
        </w:tc>
        <w:tc>
          <w:tcPr>
            <w:tcW w:w="3116" w:type="dxa"/>
          </w:tcPr>
          <w:p>
            <w:pPr>
              <w:pStyle w:val="24"/>
              <w:bidi w:val="0"/>
              <w:rPr>
                <w:rFonts w:hint="default"/>
                <w:color w:val="auto"/>
                <w:lang w:val="en-US" w:eastAsia="zh-CN"/>
              </w:rPr>
            </w:pPr>
            <w:r>
              <w:rPr>
                <w:rFonts w:hint="eastAsia"/>
                <w:color w:val="auto"/>
                <w:lang w:val="en-US" w:eastAsia="zh-CN"/>
              </w:rPr>
              <w:t>&gt;10%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2</w:t>
            </w:r>
          </w:p>
        </w:tc>
        <w:tc>
          <w:tcPr>
            <w:tcW w:w="4554" w:type="dxa"/>
          </w:tcPr>
          <w:p>
            <w:pPr>
              <w:pStyle w:val="24"/>
              <w:bidi w:val="0"/>
              <w:jc w:val="center"/>
              <w:rPr>
                <w:rFonts w:hint="default"/>
                <w:color w:val="auto"/>
                <w:lang w:val="en-US" w:eastAsia="zh-CN"/>
              </w:rPr>
            </w:pPr>
            <w:r>
              <w:rPr>
                <w:rFonts w:hint="eastAsia"/>
                <w:color w:val="auto"/>
                <w:lang w:val="en-US" w:eastAsia="zh-CN"/>
              </w:rPr>
              <w:t>受弯构件及偏压构件</w:t>
            </w:r>
          </w:p>
        </w:tc>
        <w:tc>
          <w:tcPr>
            <w:tcW w:w="3116" w:type="dxa"/>
          </w:tcPr>
          <w:p>
            <w:pPr>
              <w:pStyle w:val="24"/>
              <w:bidi w:val="0"/>
              <w:rPr>
                <w:rFonts w:hint="default"/>
                <w:color w:val="auto"/>
                <w:lang w:val="en-US" w:eastAsia="zh-CN"/>
              </w:rPr>
            </w:pPr>
            <w:r>
              <w:rPr>
                <w:rFonts w:hint="eastAsia"/>
                <w:color w:val="auto"/>
                <w:lang w:val="en-US" w:eastAsia="zh-CN"/>
              </w:rPr>
              <w:t>&gt;15%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3</w:t>
            </w:r>
          </w:p>
        </w:tc>
        <w:tc>
          <w:tcPr>
            <w:tcW w:w="4554" w:type="dxa"/>
          </w:tcPr>
          <w:p>
            <w:pPr>
              <w:pStyle w:val="24"/>
              <w:bidi w:val="0"/>
              <w:jc w:val="center"/>
              <w:rPr>
                <w:rFonts w:hint="default"/>
                <w:color w:val="auto"/>
                <w:lang w:val="en-US" w:eastAsia="zh-CN"/>
              </w:rPr>
            </w:pPr>
            <w:r>
              <w:rPr>
                <w:rFonts w:hint="eastAsia"/>
                <w:color w:val="auto"/>
                <w:lang w:val="en-US" w:eastAsia="zh-CN"/>
              </w:rPr>
              <w:t>受压构件</w:t>
            </w:r>
          </w:p>
        </w:tc>
        <w:tc>
          <w:tcPr>
            <w:tcW w:w="3116" w:type="dxa"/>
          </w:tcPr>
          <w:p>
            <w:pPr>
              <w:pStyle w:val="24"/>
              <w:bidi w:val="0"/>
              <w:rPr>
                <w:rFonts w:hint="default"/>
                <w:color w:val="auto"/>
                <w:lang w:val="en-US" w:eastAsia="zh-CN"/>
              </w:rPr>
            </w:pPr>
            <w:r>
              <w:rPr>
                <w:rFonts w:hint="eastAsia"/>
                <w:color w:val="auto"/>
                <w:lang w:val="en-US" w:eastAsia="zh-CN"/>
              </w:rPr>
              <w:t>&gt;20%</w:t>
            </w:r>
          </w:p>
        </w:tc>
      </w:tr>
    </w:tbl>
    <w:p>
      <w:pPr>
        <w:pStyle w:val="5"/>
        <w:bidi w:val="0"/>
        <w:ind w:left="0" w:leftChars="0" w:firstLine="0" w:firstLineChars="0"/>
        <w:rPr>
          <w:color w:val="auto"/>
        </w:rPr>
      </w:pPr>
      <w:bookmarkStart w:id="91" w:name="_Ref31669"/>
      <w:r>
        <w:rPr>
          <w:rFonts w:hint="eastAsia"/>
          <w:color w:val="auto"/>
          <w:lang w:val="en-US" w:eastAsia="zh-CN"/>
        </w:rPr>
        <w:t>当木构件的安全性按干缩裂缝深度评级，应符合下列规定</w:t>
      </w:r>
      <w:r>
        <w:rPr>
          <w:rFonts w:hint="eastAsia"/>
          <w:color w:val="auto"/>
        </w:rPr>
        <w:t>。</w:t>
      </w:r>
      <w:bookmarkEnd w:id="91"/>
    </w:p>
    <w:p>
      <w:pPr>
        <w:pStyle w:val="25"/>
        <w:bidi w:val="0"/>
        <w:rPr>
          <w:rFonts w:hint="eastAsia"/>
          <w:color w:val="auto"/>
          <w:lang w:eastAsia="zh-CN"/>
        </w:rPr>
      </w:pPr>
      <w:r>
        <w:rPr>
          <w:rFonts w:hint="eastAsia"/>
          <w:color w:val="auto"/>
        </w:rPr>
        <w:t>表</w:t>
      </w:r>
      <w:r>
        <w:rPr>
          <w:rFonts w:hint="eastAsia"/>
          <w:color w:val="auto"/>
          <w:lang w:eastAsia="zh-CN"/>
        </w:rPr>
        <w:fldChar w:fldCharType="begin"/>
      </w:r>
      <w:r>
        <w:rPr>
          <w:rFonts w:hint="eastAsia"/>
          <w:color w:val="auto"/>
          <w:lang w:eastAsia="zh-CN"/>
        </w:rPr>
        <w:instrText xml:space="preserve"> REF _Ref31669 \n \h </w:instrText>
      </w:r>
      <w:r>
        <w:rPr>
          <w:rFonts w:hint="eastAsia"/>
          <w:color w:val="auto"/>
          <w:lang w:eastAsia="zh-CN"/>
        </w:rPr>
        <w:fldChar w:fldCharType="separate"/>
      </w:r>
      <w:r>
        <w:rPr>
          <w:rFonts w:hint="eastAsia"/>
          <w:color w:val="auto"/>
          <w:lang w:eastAsia="zh-CN"/>
        </w:rPr>
        <w:t>7.5.19</w:t>
      </w:r>
      <w:r>
        <w:rPr>
          <w:rFonts w:hint="eastAsia"/>
          <w:color w:val="auto"/>
          <w:lang w:eastAsia="zh-CN"/>
        </w:rPr>
        <w:fldChar w:fldCharType="end"/>
      </w:r>
      <w:r>
        <w:rPr>
          <w:rFonts w:hint="eastAsia"/>
          <w:color w:val="auto"/>
        </w:rPr>
        <w:t xml:space="preserve"> 木结构构件的安全性按</w:t>
      </w:r>
      <w:r>
        <w:rPr>
          <w:rFonts w:hint="eastAsia"/>
          <w:color w:val="auto"/>
          <w:lang w:val="en-US" w:eastAsia="zh-CN"/>
        </w:rPr>
        <w:t>干缩裂缝深度</w:t>
      </w:r>
      <w:r>
        <w:rPr>
          <w:rFonts w:hint="eastAsia"/>
          <w:color w:val="auto"/>
          <w:lang w:eastAsia="zh-CN"/>
        </w:rPr>
        <w:t>评级</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4554"/>
        <w:gridCol w:w="31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项次</w:t>
            </w:r>
          </w:p>
        </w:tc>
        <w:tc>
          <w:tcPr>
            <w:tcW w:w="4554" w:type="dxa"/>
          </w:tcPr>
          <w:p>
            <w:pPr>
              <w:pStyle w:val="24"/>
              <w:bidi w:val="0"/>
              <w:rPr>
                <w:rFonts w:hint="default"/>
                <w:color w:val="auto"/>
                <w:lang w:val="en-US" w:eastAsia="zh-CN"/>
              </w:rPr>
            </w:pPr>
            <w:r>
              <w:rPr>
                <w:rFonts w:hint="eastAsia"/>
                <w:color w:val="auto"/>
                <w:lang w:val="en-US" w:eastAsia="zh-CN"/>
              </w:rPr>
              <w:t>构件类型</w:t>
            </w:r>
          </w:p>
        </w:tc>
        <w:tc>
          <w:tcPr>
            <w:tcW w:w="3116" w:type="dxa"/>
          </w:tcPr>
          <w:p>
            <w:pPr>
              <w:pStyle w:val="24"/>
              <w:bidi w:val="0"/>
              <w:rPr>
                <w:rFonts w:hint="default"/>
                <w:color w:val="auto"/>
                <w:lang w:val="en-US" w:eastAsia="zh-CN"/>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eastAsia"/>
                <w:color w:val="auto"/>
                <w:lang w:val="en-US" w:eastAsia="zh-CN"/>
              </w:rPr>
              <w:t>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1</w:t>
            </w:r>
          </w:p>
        </w:tc>
        <w:tc>
          <w:tcPr>
            <w:tcW w:w="4554" w:type="dxa"/>
          </w:tcPr>
          <w:p>
            <w:pPr>
              <w:pStyle w:val="24"/>
              <w:bidi w:val="0"/>
              <w:jc w:val="center"/>
              <w:rPr>
                <w:rFonts w:hint="default"/>
                <w:color w:val="auto"/>
                <w:lang w:val="en-US" w:eastAsia="zh-CN"/>
              </w:rPr>
            </w:pPr>
            <w:r>
              <w:rPr>
                <w:rFonts w:hint="default"/>
                <w:color w:val="auto"/>
              </w:rPr>
              <w:t>受弯或</w:t>
            </w:r>
            <w:r>
              <w:rPr>
                <w:rFonts w:hint="eastAsia"/>
                <w:color w:val="auto"/>
                <w:lang w:val="en-US" w:eastAsia="zh-CN"/>
              </w:rPr>
              <w:t>压弯</w:t>
            </w:r>
            <w:r>
              <w:rPr>
                <w:rFonts w:hint="default"/>
                <w:color w:val="auto"/>
              </w:rPr>
              <w:t>构件</w:t>
            </w:r>
          </w:p>
        </w:tc>
        <w:tc>
          <w:tcPr>
            <w:tcW w:w="3116" w:type="dxa"/>
          </w:tcPr>
          <w:p>
            <w:pPr>
              <w:pStyle w:val="24"/>
              <w:bidi w:val="0"/>
              <w:ind w:firstLine="239" w:firstLineChars="114"/>
              <w:jc w:val="left"/>
              <w:rPr>
                <w:rFonts w:hint="default"/>
                <w:color w:val="auto"/>
                <w:lang w:val="en-US" w:eastAsia="zh-CN"/>
              </w:rPr>
            </w:pPr>
            <w:r>
              <w:rPr>
                <w:rFonts w:hint="eastAsia"/>
                <w:color w:val="auto"/>
                <w:lang w:val="en-US" w:eastAsia="zh-CN"/>
              </w:rPr>
              <w:t>大于直径或材宽1/4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 w:type="dxa"/>
          </w:tcPr>
          <w:p>
            <w:pPr>
              <w:pStyle w:val="24"/>
              <w:bidi w:val="0"/>
              <w:rPr>
                <w:rFonts w:hint="default"/>
                <w:color w:val="auto"/>
                <w:lang w:val="en-US" w:eastAsia="zh-CN"/>
              </w:rPr>
            </w:pPr>
            <w:r>
              <w:rPr>
                <w:rFonts w:hint="eastAsia"/>
                <w:color w:val="auto"/>
                <w:lang w:val="en-US" w:eastAsia="zh-CN"/>
              </w:rPr>
              <w:t>2</w:t>
            </w:r>
          </w:p>
        </w:tc>
        <w:tc>
          <w:tcPr>
            <w:tcW w:w="4554" w:type="dxa"/>
          </w:tcPr>
          <w:p>
            <w:pPr>
              <w:pStyle w:val="24"/>
              <w:bidi w:val="0"/>
              <w:jc w:val="center"/>
              <w:rPr>
                <w:rFonts w:hint="default"/>
                <w:color w:val="auto"/>
                <w:lang w:val="en-US" w:eastAsia="zh-CN"/>
              </w:rPr>
            </w:pPr>
            <w:r>
              <w:rPr>
                <w:rFonts w:hint="default"/>
                <w:color w:val="auto"/>
              </w:rPr>
              <w:t>受</w:t>
            </w:r>
            <w:r>
              <w:rPr>
                <w:rFonts w:hint="eastAsia"/>
                <w:color w:val="auto"/>
                <w:lang w:val="en-US" w:eastAsia="zh-CN"/>
              </w:rPr>
              <w:t>压或次要</w:t>
            </w:r>
            <w:r>
              <w:rPr>
                <w:rFonts w:hint="default"/>
                <w:color w:val="auto"/>
              </w:rPr>
              <w:t>构件</w:t>
            </w:r>
          </w:p>
        </w:tc>
        <w:tc>
          <w:tcPr>
            <w:tcW w:w="3116" w:type="dxa"/>
          </w:tcPr>
          <w:p>
            <w:pPr>
              <w:pStyle w:val="24"/>
              <w:bidi w:val="0"/>
              <w:ind w:firstLine="239" w:firstLineChars="114"/>
              <w:jc w:val="left"/>
              <w:rPr>
                <w:rFonts w:hint="default"/>
                <w:color w:val="auto"/>
                <w:lang w:val="en-US" w:eastAsia="zh-CN"/>
              </w:rPr>
            </w:pPr>
            <w:r>
              <w:rPr>
                <w:rFonts w:hint="eastAsia"/>
                <w:color w:val="auto"/>
                <w:lang w:val="en-US" w:eastAsia="zh-CN"/>
              </w:rPr>
              <w:t>大于直径或材宽1/3</w:t>
            </w:r>
          </w:p>
        </w:tc>
      </w:tr>
    </w:tbl>
    <w:p>
      <w:pPr>
        <w:pStyle w:val="5"/>
        <w:bidi w:val="0"/>
        <w:ind w:left="0" w:leftChars="0" w:firstLine="0" w:firstLineChars="0"/>
        <w:rPr>
          <w:rFonts w:hint="eastAsia"/>
          <w:color w:val="auto"/>
          <w:lang w:val="en-US" w:eastAsia="zh-CN"/>
        </w:rPr>
      </w:pPr>
      <w:bookmarkStart w:id="92" w:name="_Ref13401"/>
      <w:bookmarkStart w:id="93" w:name="_Ref19163"/>
      <w:r>
        <w:rPr>
          <w:rFonts w:hint="eastAsia"/>
          <w:color w:val="auto"/>
          <w:lang w:val="en-US" w:eastAsia="zh-CN"/>
        </w:rPr>
        <w:t>当木结构构件的安全性按腐朽或虫蛀评级，应符合表</w:t>
      </w:r>
      <w:r>
        <w:rPr>
          <w:rFonts w:hint="eastAsia"/>
          <w:color w:val="auto"/>
          <w:lang w:val="en-US" w:eastAsia="zh-CN"/>
        </w:rPr>
        <w:fldChar w:fldCharType="begin"/>
      </w:r>
      <w:r>
        <w:rPr>
          <w:rFonts w:hint="eastAsia"/>
          <w:color w:val="auto"/>
          <w:lang w:val="en-US" w:eastAsia="zh-CN"/>
        </w:rPr>
        <w:instrText xml:space="preserve"> REF _Ref19163 \n \h </w:instrText>
      </w:r>
      <w:r>
        <w:rPr>
          <w:rFonts w:hint="eastAsia"/>
          <w:color w:val="auto"/>
          <w:lang w:val="en-US" w:eastAsia="zh-CN"/>
        </w:rPr>
        <w:fldChar w:fldCharType="separate"/>
      </w:r>
      <w:r>
        <w:rPr>
          <w:rFonts w:hint="eastAsia"/>
          <w:color w:val="auto"/>
          <w:lang w:val="en-US" w:eastAsia="zh-CN"/>
        </w:rPr>
        <w:t>7.5.20</w:t>
      </w:r>
      <w:r>
        <w:rPr>
          <w:rFonts w:hint="eastAsia"/>
          <w:color w:val="auto"/>
          <w:lang w:val="en-US" w:eastAsia="zh-CN"/>
        </w:rPr>
        <w:fldChar w:fldCharType="end"/>
      </w:r>
      <w:r>
        <w:rPr>
          <w:rFonts w:hint="eastAsia"/>
          <w:color w:val="auto"/>
          <w:lang w:val="en-US" w:eastAsia="zh-CN"/>
        </w:rPr>
        <w:t>的规定；当封入墙、保护层内的木构件或其连接已受潮时，即使木材尚未腐朽，也应直接评为cu级。</w:t>
      </w:r>
      <w:bookmarkEnd w:id="92"/>
      <w:bookmarkEnd w:id="93"/>
    </w:p>
    <w:p>
      <w:pPr>
        <w:pStyle w:val="25"/>
        <w:bidi w:val="0"/>
        <w:rPr>
          <w:rFonts w:hint="eastAsia"/>
          <w:color w:val="auto"/>
          <w:lang w:eastAsia="zh-CN"/>
        </w:rPr>
      </w:pPr>
      <w:r>
        <w:rPr>
          <w:rFonts w:hint="eastAsia"/>
          <w:color w:val="auto"/>
        </w:rPr>
        <w:t>表</w:t>
      </w:r>
      <w:r>
        <w:rPr>
          <w:rFonts w:hint="eastAsia"/>
          <w:color w:val="auto"/>
          <w:lang w:val="en-US" w:eastAsia="zh-CN"/>
        </w:rPr>
        <w:fldChar w:fldCharType="begin"/>
      </w:r>
      <w:r>
        <w:rPr>
          <w:rFonts w:hint="eastAsia"/>
          <w:color w:val="auto"/>
          <w:lang w:val="en-US" w:eastAsia="zh-CN"/>
        </w:rPr>
        <w:instrText xml:space="preserve"> REF _Ref19163 \n \h </w:instrText>
      </w:r>
      <w:r>
        <w:rPr>
          <w:rFonts w:hint="eastAsia"/>
          <w:color w:val="auto"/>
          <w:lang w:val="en-US" w:eastAsia="zh-CN"/>
        </w:rPr>
        <w:fldChar w:fldCharType="separate"/>
      </w:r>
      <w:r>
        <w:rPr>
          <w:rFonts w:hint="eastAsia"/>
          <w:color w:val="auto"/>
          <w:lang w:val="en-US" w:eastAsia="zh-CN"/>
        </w:rPr>
        <w:t>7.5.20</w:t>
      </w:r>
      <w:r>
        <w:rPr>
          <w:rFonts w:hint="eastAsia"/>
          <w:color w:val="auto"/>
          <w:lang w:val="en-US" w:eastAsia="zh-CN"/>
        </w:rPr>
        <w:fldChar w:fldCharType="end"/>
      </w:r>
      <w:r>
        <w:rPr>
          <w:rFonts w:hint="eastAsia"/>
          <w:color w:val="auto"/>
        </w:rPr>
        <w:t xml:space="preserve"> 木结构构件的安全性按腐朽、虫蛀</w:t>
      </w:r>
      <w:r>
        <w:rPr>
          <w:rFonts w:hint="eastAsia"/>
          <w:color w:val="auto"/>
          <w:lang w:eastAsia="zh-CN"/>
        </w:rPr>
        <w:t>评级</w:t>
      </w:r>
    </w:p>
    <w:tbl>
      <w:tblPr>
        <w:tblStyle w:val="27"/>
        <w:tblW w:w="5052"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98"/>
        <w:gridCol w:w="1135"/>
        <w:gridCol w:w="66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31" w:type="pct"/>
            <w:gridSpan w:val="2"/>
            <w:tcBorders>
              <w:top w:val="single" w:color="000000" w:sz="2" w:space="0"/>
              <w:bottom w:val="single" w:color="000000" w:sz="2" w:space="0"/>
            </w:tcBorders>
            <w:noWrap w:val="0"/>
            <w:vAlign w:val="center"/>
          </w:tcPr>
          <w:p>
            <w:pPr>
              <w:pStyle w:val="24"/>
              <w:bidi w:val="0"/>
              <w:rPr>
                <w:rFonts w:hint="default"/>
                <w:color w:val="auto"/>
              </w:rPr>
            </w:pPr>
            <w:r>
              <w:rPr>
                <w:rFonts w:hint="default"/>
                <w:color w:val="auto"/>
              </w:rPr>
              <w:t>检查项目</w:t>
            </w:r>
          </w:p>
        </w:tc>
        <w:tc>
          <w:tcPr>
            <w:tcW w:w="3968" w:type="pct"/>
            <w:tcBorders>
              <w:top w:val="single" w:color="000000" w:sz="2" w:space="0"/>
              <w:bottom w:val="single" w:color="000000" w:sz="2" w:space="0"/>
            </w:tcBorders>
            <w:noWrap w:val="0"/>
            <w:vAlign w:val="center"/>
          </w:tcPr>
          <w:p>
            <w:pPr>
              <w:pStyle w:val="24"/>
              <w:bidi w:val="0"/>
              <w:rPr>
                <w:rFonts w:hint="default"/>
                <w:color w:val="auto"/>
              </w:rPr>
            </w:pPr>
            <w:r>
              <w:rPr>
                <w:rFonts w:hint="eastAsia"/>
                <w:color w:val="auto"/>
                <w:lang w:val="en-US" w:eastAsia="zh-CN"/>
              </w:rPr>
              <w:t>c</w:t>
            </w:r>
            <w:r>
              <w:rPr>
                <w:rFonts w:hint="eastAsia" w:hAnsi="Cambria Math" w:cs="宋体"/>
                <w:color w:val="auto"/>
                <w:kern w:val="0"/>
                <w:sz w:val="24"/>
                <w:szCs w:val="24"/>
                <w:vertAlign w:val="subscript"/>
                <w:lang w:val="en-US" w:eastAsia="zh-CN" w:bidi="ar"/>
              </w:rPr>
              <w:t>u</w:t>
            </w:r>
            <w:r>
              <w:rPr>
                <w:rFonts w:hint="default"/>
                <w:color w:val="auto"/>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3" w:hRule="atLeast"/>
        </w:trPr>
        <w:tc>
          <w:tcPr>
            <w:tcW w:w="356" w:type="pct"/>
            <w:vMerge w:val="restart"/>
            <w:tcBorders>
              <w:top w:val="single" w:color="000000" w:sz="2" w:space="0"/>
              <w:bottom w:val="nil"/>
            </w:tcBorders>
            <w:noWrap w:val="0"/>
            <w:vAlign w:val="center"/>
          </w:tcPr>
          <w:p>
            <w:pPr>
              <w:pStyle w:val="24"/>
              <w:bidi w:val="0"/>
              <w:rPr>
                <w:rFonts w:hint="default"/>
                <w:color w:val="auto"/>
              </w:rPr>
            </w:pPr>
            <w:r>
              <w:rPr>
                <w:rFonts w:hint="default"/>
                <w:color w:val="auto"/>
              </w:rPr>
              <w:t>表层腐朽</w:t>
            </w:r>
          </w:p>
        </w:tc>
        <w:tc>
          <w:tcPr>
            <w:tcW w:w="674" w:type="pct"/>
            <w:tcBorders>
              <w:top w:val="single" w:color="000000" w:sz="2" w:space="0"/>
              <w:bottom w:val="single" w:color="000000" w:sz="2" w:space="0"/>
            </w:tcBorders>
            <w:noWrap w:val="0"/>
            <w:vAlign w:val="center"/>
          </w:tcPr>
          <w:p>
            <w:pPr>
              <w:pStyle w:val="24"/>
              <w:bidi w:val="0"/>
              <w:rPr>
                <w:rFonts w:hint="default"/>
                <w:color w:val="auto"/>
              </w:rPr>
            </w:pPr>
            <w:r>
              <w:rPr>
                <w:rFonts w:hint="default"/>
                <w:color w:val="auto"/>
              </w:rPr>
              <w:t>上部承重结构构件</w:t>
            </w:r>
          </w:p>
        </w:tc>
        <w:tc>
          <w:tcPr>
            <w:tcW w:w="3968" w:type="pct"/>
            <w:tcBorders>
              <w:top w:val="single" w:color="000000" w:sz="2" w:space="0"/>
              <w:bottom w:val="single" w:color="000000" w:sz="2" w:space="0"/>
            </w:tcBorders>
            <w:noWrap w:val="0"/>
            <w:vAlign w:val="center"/>
          </w:tcPr>
          <w:p>
            <w:pPr>
              <w:pStyle w:val="24"/>
              <w:bidi w:val="0"/>
              <w:jc w:val="left"/>
              <w:rPr>
                <w:rFonts w:hint="eastAsia"/>
                <w:color w:val="auto"/>
                <w:lang w:eastAsia="zh-CN"/>
              </w:rPr>
            </w:pPr>
            <w:r>
              <w:rPr>
                <w:rFonts w:hint="eastAsia"/>
                <w:color w:val="auto"/>
                <w:lang w:eastAsia="zh-CN"/>
              </w:rPr>
              <w:t>截面上的腐朽面积大于原截面面积的5%，或按剩余截面验算不合格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356" w:type="pct"/>
            <w:vMerge w:val="continue"/>
            <w:tcBorders>
              <w:top w:val="nil"/>
              <w:bottom w:val="single" w:color="000000" w:sz="2" w:space="0"/>
            </w:tcBorders>
            <w:noWrap w:val="0"/>
            <w:vAlign w:val="center"/>
          </w:tcPr>
          <w:p>
            <w:pPr>
              <w:pStyle w:val="24"/>
              <w:bidi w:val="0"/>
              <w:rPr>
                <w:rFonts w:hint="default"/>
                <w:color w:val="auto"/>
              </w:rPr>
            </w:pPr>
          </w:p>
        </w:tc>
        <w:tc>
          <w:tcPr>
            <w:tcW w:w="674" w:type="pct"/>
            <w:tcBorders>
              <w:top w:val="single" w:color="000000" w:sz="2" w:space="0"/>
              <w:bottom w:val="single" w:color="000000" w:sz="2" w:space="0"/>
            </w:tcBorders>
            <w:noWrap w:val="0"/>
            <w:vAlign w:val="center"/>
          </w:tcPr>
          <w:p>
            <w:pPr>
              <w:pStyle w:val="24"/>
              <w:bidi w:val="0"/>
              <w:rPr>
                <w:rFonts w:hint="default"/>
                <w:color w:val="auto"/>
              </w:rPr>
            </w:pPr>
            <w:r>
              <w:rPr>
                <w:rFonts w:hint="default"/>
                <w:color w:val="auto"/>
              </w:rPr>
              <w:t>木   桩</w:t>
            </w:r>
          </w:p>
        </w:tc>
        <w:tc>
          <w:tcPr>
            <w:tcW w:w="3968" w:type="pct"/>
            <w:tcBorders>
              <w:top w:val="single" w:color="000000" w:sz="2" w:space="0"/>
              <w:bottom w:val="single" w:color="000000" w:sz="2" w:space="0"/>
            </w:tcBorders>
            <w:noWrap w:val="0"/>
            <w:vAlign w:val="center"/>
          </w:tcPr>
          <w:p>
            <w:pPr>
              <w:pStyle w:val="24"/>
              <w:bidi w:val="0"/>
              <w:jc w:val="left"/>
              <w:rPr>
                <w:rFonts w:hint="eastAsia"/>
                <w:color w:val="auto"/>
                <w:lang w:eastAsia="zh-CN"/>
              </w:rPr>
            </w:pPr>
            <w:r>
              <w:rPr>
                <w:rFonts w:hint="eastAsia"/>
                <w:color w:val="auto"/>
                <w:lang w:eastAsia="zh-CN"/>
              </w:rPr>
              <w:t>截面上的腐朽面积大于原截面面积的10%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356" w:type="pct"/>
            <w:tcBorders>
              <w:top w:val="single" w:color="000000" w:sz="2" w:space="0"/>
              <w:bottom w:val="single" w:color="000000" w:sz="2" w:space="0"/>
            </w:tcBorders>
            <w:noWrap w:val="0"/>
            <w:vAlign w:val="center"/>
          </w:tcPr>
          <w:p>
            <w:pPr>
              <w:pStyle w:val="24"/>
              <w:bidi w:val="0"/>
              <w:rPr>
                <w:rFonts w:hint="default"/>
                <w:color w:val="auto"/>
              </w:rPr>
            </w:pPr>
            <w:r>
              <w:rPr>
                <w:rFonts w:hint="default"/>
                <w:color w:val="auto"/>
              </w:rPr>
              <w:t>心腐</w:t>
            </w:r>
          </w:p>
        </w:tc>
        <w:tc>
          <w:tcPr>
            <w:tcW w:w="674" w:type="pct"/>
            <w:tcBorders>
              <w:top w:val="single" w:color="000000" w:sz="2" w:space="0"/>
              <w:bottom w:val="single" w:color="000000" w:sz="2" w:space="0"/>
            </w:tcBorders>
            <w:noWrap w:val="0"/>
            <w:vAlign w:val="center"/>
          </w:tcPr>
          <w:p>
            <w:pPr>
              <w:pStyle w:val="24"/>
              <w:bidi w:val="0"/>
              <w:rPr>
                <w:rFonts w:hint="default"/>
                <w:color w:val="auto"/>
              </w:rPr>
            </w:pPr>
            <w:r>
              <w:rPr>
                <w:rFonts w:hint="default"/>
                <w:color w:val="auto"/>
              </w:rPr>
              <w:t>任何构件</w:t>
            </w:r>
          </w:p>
        </w:tc>
        <w:tc>
          <w:tcPr>
            <w:tcW w:w="3968" w:type="pct"/>
            <w:tcBorders>
              <w:top w:val="single" w:color="000000" w:sz="2" w:space="0"/>
              <w:bottom w:val="single" w:color="000000" w:sz="2" w:space="0"/>
            </w:tcBorders>
            <w:noWrap w:val="0"/>
            <w:vAlign w:val="center"/>
          </w:tcPr>
          <w:p>
            <w:pPr>
              <w:pStyle w:val="24"/>
              <w:bidi w:val="0"/>
              <w:jc w:val="left"/>
              <w:rPr>
                <w:rFonts w:hint="eastAsia"/>
                <w:color w:val="auto"/>
                <w:lang w:eastAsia="zh-CN"/>
              </w:rPr>
            </w:pPr>
            <w:r>
              <w:rPr>
                <w:rFonts w:hint="eastAsia"/>
                <w:color w:val="auto"/>
                <w:lang w:eastAsia="zh-CN"/>
              </w:rPr>
              <w:t>有心腐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 w:hRule="atLeast"/>
        </w:trPr>
        <w:tc>
          <w:tcPr>
            <w:tcW w:w="1031" w:type="pct"/>
            <w:gridSpan w:val="2"/>
            <w:tcBorders>
              <w:top w:val="single" w:color="000000" w:sz="2" w:space="0"/>
              <w:bottom w:val="single" w:color="000000" w:sz="2" w:space="0"/>
            </w:tcBorders>
            <w:noWrap w:val="0"/>
            <w:vAlign w:val="center"/>
          </w:tcPr>
          <w:p>
            <w:pPr>
              <w:pStyle w:val="24"/>
              <w:bidi w:val="0"/>
              <w:rPr>
                <w:rFonts w:hint="default"/>
                <w:color w:val="auto"/>
              </w:rPr>
            </w:pPr>
            <w:r>
              <w:rPr>
                <w:rFonts w:hint="default"/>
                <w:color w:val="auto"/>
              </w:rPr>
              <w:t>虫蛀</w:t>
            </w:r>
          </w:p>
        </w:tc>
        <w:tc>
          <w:tcPr>
            <w:tcW w:w="3968" w:type="pct"/>
            <w:tcBorders>
              <w:top w:val="single" w:color="000000" w:sz="2" w:space="0"/>
              <w:bottom w:val="single" w:color="000000" w:sz="2" w:space="0"/>
            </w:tcBorders>
            <w:noWrap w:val="0"/>
            <w:vAlign w:val="center"/>
          </w:tcPr>
          <w:p>
            <w:pPr>
              <w:pStyle w:val="24"/>
              <w:bidi w:val="0"/>
              <w:jc w:val="left"/>
              <w:rPr>
                <w:rFonts w:hint="eastAsia"/>
                <w:color w:val="auto"/>
                <w:lang w:eastAsia="zh-CN"/>
              </w:rPr>
            </w:pPr>
            <w:r>
              <w:rPr>
                <w:rFonts w:hint="eastAsia"/>
                <w:color w:val="auto"/>
                <w:lang w:eastAsia="zh-CN"/>
              </w:rPr>
              <w:t>有新蛀孔；或未见蛀孔，但敲击有空鼓音， 或用仪器探测，内有蛀洞</w:t>
            </w:r>
          </w:p>
        </w:tc>
      </w:tr>
    </w:tbl>
    <w:p>
      <w:pPr>
        <w:pStyle w:val="5"/>
        <w:bidi w:val="0"/>
        <w:ind w:left="0" w:leftChars="0" w:firstLine="0" w:firstLineChars="0"/>
        <w:rPr>
          <w:rFonts w:hint="default"/>
          <w:color w:val="auto"/>
          <w:lang w:val="en-US" w:eastAsia="zh-CN"/>
        </w:rPr>
      </w:pPr>
      <w:r>
        <w:rPr>
          <w:color w:val="auto"/>
        </w:rPr>
        <w:t>木构件节点连接</w:t>
      </w:r>
      <w:r>
        <w:rPr>
          <w:rFonts w:hint="eastAsia"/>
          <w:color w:val="auto"/>
          <w:lang w:val="en-US" w:eastAsia="zh-CN"/>
        </w:rPr>
        <w:t>存在</w:t>
      </w:r>
      <w:r>
        <w:rPr>
          <w:color w:val="auto"/>
        </w:rPr>
        <w:t>松弛变形、滑移、沿剪面开裂或拔榫</w:t>
      </w:r>
      <w:r>
        <w:rPr>
          <w:rFonts w:hint="eastAsia"/>
          <w:color w:val="auto"/>
          <w:lang w:val="en-US" w:eastAsia="zh-CN"/>
        </w:rPr>
        <w:t>等情况，或</w:t>
      </w:r>
      <w:r>
        <w:rPr>
          <w:rFonts w:hint="eastAsia"/>
          <w:color w:val="auto"/>
        </w:rPr>
        <w:t>连接铁件</w:t>
      </w:r>
      <w:r>
        <w:rPr>
          <w:rFonts w:hint="eastAsia"/>
          <w:color w:val="auto"/>
          <w:lang w:val="en-US" w:eastAsia="zh-CN"/>
        </w:rPr>
        <w:t>锈蚀、缺失等，直接评为c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5"/>
        <w:bidi w:val="0"/>
        <w:ind w:left="0" w:leftChars="0" w:firstLine="0" w:firstLineChars="0"/>
        <w:rPr>
          <w:rFonts w:hint="eastAsia"/>
          <w:color w:val="auto"/>
          <w:lang w:val="en-US" w:eastAsia="zh-CN"/>
        </w:rPr>
      </w:pPr>
      <w:bookmarkStart w:id="94" w:name="_Ref13224"/>
      <w:bookmarkStart w:id="95" w:name="_Ref11106"/>
      <w:r>
        <w:rPr>
          <w:rFonts w:hint="eastAsia"/>
          <w:color w:val="auto"/>
          <w:lang w:val="en-US" w:eastAsia="zh-CN"/>
        </w:rPr>
        <w:t>木结构构件及其连接的安全性等级按验算项目评级，应按表</w:t>
      </w:r>
      <w:r>
        <w:rPr>
          <w:rFonts w:hint="eastAsia"/>
          <w:color w:val="auto"/>
          <w:lang w:val="en-US" w:eastAsia="zh-CN"/>
        </w:rPr>
        <w:fldChar w:fldCharType="begin"/>
      </w:r>
      <w:r>
        <w:rPr>
          <w:rFonts w:hint="eastAsia"/>
          <w:color w:val="auto"/>
          <w:lang w:val="en-US" w:eastAsia="zh-CN"/>
        </w:rPr>
        <w:instrText xml:space="preserve"> REF _Ref11106 \n \h </w:instrText>
      </w:r>
      <w:r>
        <w:rPr>
          <w:rFonts w:hint="eastAsia"/>
          <w:color w:val="auto"/>
          <w:lang w:val="en-US" w:eastAsia="zh-CN"/>
        </w:rPr>
        <w:fldChar w:fldCharType="separate"/>
      </w:r>
      <w:r>
        <w:rPr>
          <w:rFonts w:hint="eastAsia"/>
          <w:color w:val="auto"/>
          <w:lang w:val="en-US" w:eastAsia="zh-CN"/>
        </w:rPr>
        <w:t>7.5.22</w:t>
      </w:r>
      <w:r>
        <w:rPr>
          <w:rFonts w:hint="eastAsia"/>
          <w:color w:val="auto"/>
          <w:lang w:val="en-US" w:eastAsia="zh-CN"/>
        </w:rPr>
        <w:fldChar w:fldCharType="end"/>
      </w:r>
      <w:r>
        <w:rPr>
          <w:rFonts w:hint="eastAsia"/>
          <w:color w:val="auto"/>
          <w:lang w:val="en-US" w:eastAsia="zh-CN"/>
        </w:rPr>
        <w:t>的规定分别对每一验算项目评级，并应取其中最低等级作为该构件承载力的安全性等级。</w:t>
      </w:r>
      <w:bookmarkEnd w:id="94"/>
      <w:bookmarkEnd w:id="95"/>
    </w:p>
    <w:p>
      <w:pPr>
        <w:pStyle w:val="25"/>
        <w:bidi w:val="0"/>
        <w:rPr>
          <w:rFonts w:hint="eastAsia"/>
          <w:color w:val="auto"/>
        </w:rPr>
      </w:pPr>
      <w:r>
        <w:rPr>
          <w:rFonts w:hint="eastAsia"/>
          <w:color w:val="auto"/>
        </w:rPr>
        <w:t>表</w:t>
      </w:r>
      <w:r>
        <w:rPr>
          <w:rFonts w:hint="eastAsia"/>
          <w:color w:val="auto"/>
          <w:lang w:val="en-US" w:eastAsia="zh-CN"/>
        </w:rPr>
        <w:fldChar w:fldCharType="begin"/>
      </w:r>
      <w:r>
        <w:rPr>
          <w:rFonts w:hint="eastAsia"/>
          <w:color w:val="auto"/>
          <w:lang w:val="en-US" w:eastAsia="zh-CN"/>
        </w:rPr>
        <w:instrText xml:space="preserve"> REF _Ref11106 \n \h </w:instrText>
      </w:r>
      <w:r>
        <w:rPr>
          <w:rFonts w:hint="eastAsia"/>
          <w:color w:val="auto"/>
          <w:lang w:val="en-US" w:eastAsia="zh-CN"/>
        </w:rPr>
        <w:fldChar w:fldCharType="separate"/>
      </w:r>
      <w:r>
        <w:rPr>
          <w:rFonts w:hint="eastAsia"/>
          <w:color w:val="auto"/>
          <w:lang w:val="en-US" w:eastAsia="zh-CN"/>
        </w:rPr>
        <w:t>7.5.22</w:t>
      </w:r>
      <w:r>
        <w:rPr>
          <w:rFonts w:hint="eastAsia"/>
          <w:color w:val="auto"/>
          <w:lang w:val="en-US" w:eastAsia="zh-CN"/>
        </w:rPr>
        <w:fldChar w:fldCharType="end"/>
      </w:r>
      <w:r>
        <w:rPr>
          <w:rFonts w:hint="eastAsia"/>
          <w:color w:val="auto"/>
        </w:rPr>
        <w:t xml:space="preserve"> </w:t>
      </w:r>
      <w:r>
        <w:rPr>
          <w:rFonts w:hint="eastAsia"/>
          <w:color w:val="auto"/>
          <w:lang w:eastAsia="zh-CN"/>
        </w:rPr>
        <w:t>按验算项目评级</w:t>
      </w:r>
      <w:r>
        <w:rPr>
          <w:rFonts w:hint="eastAsia"/>
          <w:color w:val="auto"/>
          <w:lang w:val="en-US" w:eastAsia="zh-CN"/>
        </w:rPr>
        <w:t>的</w:t>
      </w:r>
      <w:r>
        <w:rPr>
          <w:rFonts w:hint="eastAsia"/>
          <w:color w:val="auto"/>
        </w:rPr>
        <w:t>木结构构件及其连接安全性等级</w:t>
      </w:r>
    </w:p>
    <w:tbl>
      <w:tblPr>
        <w:tblStyle w:val="27"/>
        <w:tblpPr w:leftFromText="180" w:rightFromText="180" w:vertAnchor="text" w:horzAnchor="page" w:tblpX="1859" w:tblpY="129"/>
        <w:tblOverlap w:val="never"/>
        <w:tblW w:w="502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923"/>
        <w:gridCol w:w="2145"/>
        <w:gridCol w:w="2145"/>
        <w:gridCol w:w="21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1150" w:type="pct"/>
            <w:vMerge w:val="restart"/>
            <w:tcBorders>
              <w:bottom w:val="nil"/>
            </w:tcBorders>
            <w:noWrap w:val="0"/>
            <w:vAlign w:val="center"/>
          </w:tcPr>
          <w:p>
            <w:pPr>
              <w:pStyle w:val="24"/>
              <w:bidi w:val="0"/>
              <w:jc w:val="center"/>
              <w:rPr>
                <w:color w:val="auto"/>
              </w:rPr>
            </w:pPr>
            <w:r>
              <w:rPr>
                <w:color w:val="auto"/>
              </w:rPr>
              <w:t>构件类别</w:t>
            </w:r>
          </w:p>
        </w:tc>
        <w:tc>
          <w:tcPr>
            <w:tcW w:w="3849" w:type="pct"/>
            <w:gridSpan w:val="3"/>
            <w:noWrap w:val="0"/>
            <w:vAlign w:val="center"/>
          </w:tcPr>
          <w:p>
            <w:pPr>
              <w:pStyle w:val="24"/>
              <w:bidi w:val="0"/>
              <w:jc w:val="center"/>
              <w:rPr>
                <w:color w:val="auto"/>
              </w:rPr>
            </w:pPr>
            <w:r>
              <w:rPr>
                <w:color w:val="auto"/>
              </w:rPr>
              <w:t>安全性等级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1150" w:type="pct"/>
            <w:vMerge w:val="continue"/>
            <w:tcBorders>
              <w:top w:val="nil"/>
            </w:tcBorders>
            <w:noWrap w:val="0"/>
            <w:vAlign w:val="center"/>
          </w:tcPr>
          <w:p>
            <w:pPr>
              <w:pStyle w:val="24"/>
              <w:bidi w:val="0"/>
              <w:jc w:val="center"/>
              <w:rPr>
                <w:color w:val="auto"/>
              </w:rPr>
            </w:pPr>
          </w:p>
        </w:tc>
        <w:tc>
          <w:tcPr>
            <w:tcW w:w="1282" w:type="pct"/>
            <w:noWrap w:val="0"/>
            <w:vAlign w:val="center"/>
          </w:tcPr>
          <w:p>
            <w:pPr>
              <w:pStyle w:val="24"/>
              <w:bidi w:val="0"/>
              <w:jc w:val="center"/>
              <w:rPr>
                <w:color w:val="auto"/>
              </w:rPr>
            </w:pPr>
            <w:r>
              <w:rPr>
                <w:color w:val="auto"/>
              </w:rPr>
              <w:t>a</w:t>
            </w:r>
            <w:r>
              <w:rPr>
                <w:rFonts w:hint="eastAsia" w:hAnsi="Cambria Math" w:cs="宋体"/>
                <w:color w:val="auto"/>
                <w:kern w:val="0"/>
                <w:sz w:val="24"/>
                <w:szCs w:val="24"/>
                <w:vertAlign w:val="subscript"/>
                <w:lang w:val="en-US" w:eastAsia="zh-CN" w:bidi="ar"/>
              </w:rPr>
              <w:t>u</w:t>
            </w:r>
            <w:r>
              <w:rPr>
                <w:color w:val="auto"/>
              </w:rPr>
              <w:t>级</w:t>
            </w:r>
          </w:p>
        </w:tc>
        <w:tc>
          <w:tcPr>
            <w:tcW w:w="1282" w:type="pct"/>
            <w:noWrap w:val="0"/>
            <w:vAlign w:val="center"/>
          </w:tcPr>
          <w:p>
            <w:pPr>
              <w:pStyle w:val="24"/>
              <w:bidi w:val="0"/>
              <w:jc w:val="center"/>
              <w:rPr>
                <w:color w:val="auto"/>
              </w:rPr>
            </w:pPr>
            <w:r>
              <w:rPr>
                <w:color w:val="auto"/>
              </w:rPr>
              <w:t>b</w:t>
            </w:r>
            <w:r>
              <w:rPr>
                <w:rFonts w:hint="eastAsia" w:hAnsi="Cambria Math" w:cs="宋体"/>
                <w:color w:val="auto"/>
                <w:kern w:val="0"/>
                <w:sz w:val="24"/>
                <w:szCs w:val="24"/>
                <w:vertAlign w:val="subscript"/>
                <w:lang w:val="en-US" w:eastAsia="zh-CN" w:bidi="ar"/>
              </w:rPr>
              <w:t>u</w:t>
            </w:r>
            <w:r>
              <w:rPr>
                <w:color w:val="auto"/>
              </w:rPr>
              <w:t>级</w:t>
            </w:r>
          </w:p>
        </w:tc>
        <w:tc>
          <w:tcPr>
            <w:tcW w:w="1283" w:type="pct"/>
            <w:noWrap w:val="0"/>
            <w:vAlign w:val="center"/>
          </w:tcPr>
          <w:p>
            <w:pPr>
              <w:pStyle w:val="24"/>
              <w:bidi w:val="0"/>
              <w:jc w:val="center"/>
              <w:rPr>
                <w:color w:val="auto"/>
              </w:rPr>
            </w:pPr>
            <w:r>
              <w:rPr>
                <w:color w:val="auto"/>
              </w:rPr>
              <w:t>c</w:t>
            </w:r>
            <w:r>
              <w:rPr>
                <w:rFonts w:hint="eastAsia" w:hAnsi="Cambria Math" w:cs="宋体"/>
                <w:color w:val="auto"/>
                <w:kern w:val="0"/>
                <w:sz w:val="24"/>
                <w:szCs w:val="24"/>
                <w:vertAlign w:val="subscript"/>
                <w:lang w:val="en-US" w:eastAsia="zh-CN" w:bidi="ar"/>
              </w:rPr>
              <w:t>u</w:t>
            </w:r>
            <w:r>
              <w:rPr>
                <w:color w:val="auto"/>
              </w:rPr>
              <w:t>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trPr>
        <w:tc>
          <w:tcPr>
            <w:tcW w:w="1150" w:type="pct"/>
            <w:noWrap w:val="0"/>
            <w:vAlign w:val="center"/>
          </w:tcPr>
          <w:p>
            <w:pPr>
              <w:pStyle w:val="24"/>
              <w:bidi w:val="0"/>
              <w:jc w:val="center"/>
              <w:rPr>
                <w:color w:val="auto"/>
              </w:rPr>
            </w:pPr>
            <w:r>
              <w:rPr>
                <w:color w:val="auto"/>
              </w:rPr>
              <w:t>主要构件及连接</w:t>
            </w:r>
          </w:p>
        </w:tc>
        <w:tc>
          <w:tcPr>
            <w:tcW w:w="1282" w:type="pct"/>
            <w:noWrap w:val="0"/>
            <w:vAlign w:val="center"/>
          </w:tcPr>
          <w:p>
            <w:pPr>
              <w:pStyle w:val="24"/>
              <w:bidi w:val="0"/>
              <w:ind w:firstLine="0" w:firstLineChars="0"/>
              <w:jc w:val="center"/>
              <w:rPr>
                <w:color w:val="auto"/>
              </w:rPr>
            </w:pPr>
            <w:r>
              <w:rPr>
                <w:color w:val="auto"/>
                <w:highlight w:val="none"/>
              </w:rPr>
              <w:t>R/(γ₀S)≥ 1.00</w:t>
            </w:r>
          </w:p>
        </w:tc>
        <w:tc>
          <w:tcPr>
            <w:tcW w:w="2145" w:type="dxa"/>
            <w:noWrap w:val="0"/>
            <w:vAlign w:val="center"/>
          </w:tcPr>
          <w:p>
            <w:pPr>
              <w:pStyle w:val="24"/>
              <w:bidi w:val="0"/>
              <w:ind w:firstLine="0" w:firstLineChars="0"/>
              <w:jc w:val="center"/>
              <w:rPr>
                <w:color w:val="auto"/>
              </w:rPr>
            </w:pPr>
            <w:r>
              <w:rPr>
                <w:rFonts w:hint="eastAsia"/>
                <w:color w:val="auto"/>
                <w:highlight w:val="none"/>
                <w:lang w:val="en-US" w:eastAsia="zh-CN"/>
              </w:rPr>
              <w:t>1.0&gt;</w:t>
            </w:r>
            <w:r>
              <w:rPr>
                <w:color w:val="auto"/>
                <w:highlight w:val="none"/>
              </w:rPr>
              <w:t>R/(γ₀S)≥ 0.95</w:t>
            </w:r>
          </w:p>
        </w:tc>
        <w:tc>
          <w:tcPr>
            <w:tcW w:w="2150" w:type="dxa"/>
            <w:noWrap w:val="0"/>
            <w:vAlign w:val="center"/>
          </w:tcPr>
          <w:p>
            <w:pPr>
              <w:pStyle w:val="24"/>
              <w:bidi w:val="0"/>
              <w:ind w:firstLine="0" w:firstLineChars="0"/>
              <w:jc w:val="center"/>
              <w:rPr>
                <w:color w:val="auto"/>
              </w:rPr>
            </w:pPr>
            <w:r>
              <w:rPr>
                <w:color w:val="auto"/>
                <w:highlight w:val="none"/>
              </w:rPr>
              <w:t>R/(γ₀S)</w:t>
            </w:r>
            <w:r>
              <w:rPr>
                <w:rFonts w:hint="eastAsia"/>
                <w:color w:val="auto"/>
                <w:highlight w:val="none"/>
                <w:lang w:val="en-US" w:eastAsia="zh-CN"/>
              </w:rPr>
              <w:t>＜</w:t>
            </w:r>
            <w:r>
              <w:rPr>
                <w:color w:val="auto"/>
                <w:highlight w:val="none"/>
              </w:rPr>
              <w:t>0.9</w:t>
            </w:r>
            <w:r>
              <w:rPr>
                <w:rFonts w:hint="eastAsia"/>
                <w:color w:val="auto"/>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1" w:hRule="atLeast"/>
        </w:trPr>
        <w:tc>
          <w:tcPr>
            <w:tcW w:w="1150" w:type="pct"/>
            <w:noWrap w:val="0"/>
            <w:vAlign w:val="center"/>
          </w:tcPr>
          <w:p>
            <w:pPr>
              <w:pStyle w:val="24"/>
              <w:bidi w:val="0"/>
              <w:jc w:val="center"/>
              <w:rPr>
                <w:color w:val="auto"/>
              </w:rPr>
            </w:pPr>
            <w:r>
              <w:rPr>
                <w:color w:val="auto"/>
              </w:rPr>
              <w:t>一般构件</w:t>
            </w:r>
          </w:p>
        </w:tc>
        <w:tc>
          <w:tcPr>
            <w:tcW w:w="1282" w:type="pct"/>
            <w:noWrap w:val="0"/>
            <w:vAlign w:val="center"/>
          </w:tcPr>
          <w:p>
            <w:pPr>
              <w:pStyle w:val="24"/>
              <w:bidi w:val="0"/>
              <w:ind w:firstLine="0" w:firstLineChars="0"/>
              <w:jc w:val="center"/>
              <w:rPr>
                <w:color w:val="auto"/>
              </w:rPr>
            </w:pPr>
            <w:r>
              <w:rPr>
                <w:color w:val="auto"/>
                <w:highlight w:val="none"/>
              </w:rPr>
              <w:t>R/(γ₀S)≥ 1.00</w:t>
            </w:r>
          </w:p>
        </w:tc>
        <w:tc>
          <w:tcPr>
            <w:tcW w:w="2145" w:type="dxa"/>
            <w:noWrap w:val="0"/>
            <w:vAlign w:val="center"/>
          </w:tcPr>
          <w:p>
            <w:pPr>
              <w:pStyle w:val="24"/>
              <w:bidi w:val="0"/>
              <w:ind w:firstLine="0" w:firstLineChars="0"/>
              <w:jc w:val="center"/>
              <w:rPr>
                <w:color w:val="auto"/>
              </w:rPr>
            </w:pPr>
            <w:r>
              <w:rPr>
                <w:rFonts w:hint="eastAsia"/>
                <w:color w:val="auto"/>
                <w:highlight w:val="none"/>
                <w:lang w:val="en-US" w:eastAsia="zh-CN"/>
              </w:rPr>
              <w:t>1.0&gt;</w:t>
            </w:r>
            <w:r>
              <w:rPr>
                <w:color w:val="auto"/>
                <w:highlight w:val="none"/>
              </w:rPr>
              <w:t>R/(γ₀S)≥ 0.90</w:t>
            </w:r>
          </w:p>
        </w:tc>
        <w:tc>
          <w:tcPr>
            <w:tcW w:w="2150" w:type="dxa"/>
            <w:noWrap w:val="0"/>
            <w:vAlign w:val="center"/>
          </w:tcPr>
          <w:p>
            <w:pPr>
              <w:pStyle w:val="24"/>
              <w:bidi w:val="0"/>
              <w:ind w:firstLine="0" w:firstLineChars="0"/>
              <w:jc w:val="center"/>
              <w:rPr>
                <w:color w:val="auto"/>
              </w:rPr>
            </w:pPr>
            <w:r>
              <w:rPr>
                <w:color w:val="auto"/>
                <w:highlight w:val="none"/>
              </w:rPr>
              <w:t>R/(γ₀S)</w:t>
            </w:r>
            <w:r>
              <w:rPr>
                <w:rFonts w:hint="eastAsia"/>
                <w:color w:val="auto"/>
                <w:highlight w:val="none"/>
                <w:lang w:val="en-US" w:eastAsia="zh-CN"/>
              </w:rPr>
              <w:t>＜0.90</w:t>
            </w:r>
          </w:p>
        </w:tc>
      </w:tr>
    </w:tbl>
    <w:p>
      <w:pPr>
        <w:pStyle w:val="5"/>
        <w:bidi w:val="0"/>
        <w:ind w:left="0" w:leftChars="0" w:firstLine="0" w:firstLineChars="0"/>
        <w:rPr>
          <w:rFonts w:hint="default"/>
          <w:color w:val="auto"/>
          <w:lang w:val="en-US" w:eastAsia="zh-CN"/>
        </w:rPr>
      </w:pPr>
      <w:r>
        <w:rPr>
          <w:rFonts w:hint="eastAsia"/>
          <w:color w:val="auto"/>
          <w:lang w:val="en-US" w:eastAsia="zh-CN"/>
        </w:rPr>
        <w:t>木结构楼层和构件系统鉴定，应符合本导则第7.2节规定。</w:t>
      </w:r>
    </w:p>
    <w:p>
      <w:pPr>
        <w:pStyle w:val="3"/>
        <w:bidi w:val="0"/>
        <w:ind w:left="0" w:leftChars="0" w:firstLine="0" w:firstLineChars="0"/>
        <w:rPr>
          <w:rFonts w:hint="eastAsia"/>
          <w:color w:val="auto"/>
          <w:lang w:val="en-US" w:eastAsia="zh-CN"/>
        </w:rPr>
      </w:pPr>
      <w:bookmarkStart w:id="96" w:name="_Toc6846"/>
      <w:bookmarkStart w:id="97" w:name="_Toc14363"/>
      <w:r>
        <w:rPr>
          <w:rFonts w:hint="eastAsia"/>
          <w:color w:val="auto"/>
          <w:lang w:val="en-US" w:eastAsia="zh-CN"/>
        </w:rPr>
        <w:t>围护构件</w:t>
      </w:r>
      <w:bookmarkEnd w:id="96"/>
      <w:bookmarkEnd w:id="97"/>
    </w:p>
    <w:p>
      <w:pPr>
        <w:pStyle w:val="5"/>
        <w:bidi w:val="0"/>
        <w:ind w:left="0" w:leftChars="0" w:firstLine="0" w:firstLineChars="0"/>
        <w:rPr>
          <w:rFonts w:hint="eastAsia"/>
          <w:color w:val="auto"/>
          <w:lang w:val="en-US" w:eastAsia="zh-CN"/>
        </w:rPr>
      </w:pPr>
      <w:bookmarkStart w:id="98" w:name="_Ref32622"/>
      <w:r>
        <w:rPr>
          <w:rFonts w:hint="eastAsia"/>
          <w:color w:val="auto"/>
          <w:lang w:val="en-US" w:eastAsia="zh-CN"/>
        </w:rPr>
        <w:t>围护构件应对构件、构件连接分别评级，并取其中最低等级作为该构件的安全性等级。</w:t>
      </w:r>
    </w:p>
    <w:p>
      <w:pPr>
        <w:pStyle w:val="5"/>
        <w:bidi w:val="0"/>
        <w:ind w:left="0" w:leftChars="0" w:firstLine="0" w:firstLineChars="0"/>
        <w:rPr>
          <w:rFonts w:hint="default"/>
          <w:color w:val="auto"/>
          <w:lang w:val="en-US" w:eastAsia="zh-CN"/>
        </w:rPr>
      </w:pPr>
      <w:r>
        <w:rPr>
          <w:rFonts w:hint="eastAsia"/>
          <w:color w:val="auto"/>
          <w:lang w:val="en-US" w:eastAsia="zh-CN"/>
        </w:rPr>
        <w:t>围护构件安全性可根据其材料类型采用本导则相应章节的规定进行鉴定评级。</w:t>
      </w:r>
    </w:p>
    <w:p>
      <w:pPr>
        <w:pStyle w:val="5"/>
        <w:bidi w:val="0"/>
        <w:ind w:left="0" w:leftChars="0" w:firstLine="0" w:firstLineChars="0"/>
        <w:rPr>
          <w:rFonts w:hint="eastAsia"/>
          <w:color w:val="auto"/>
          <w:lang w:val="en-US" w:eastAsia="zh-CN"/>
        </w:rPr>
      </w:pPr>
      <w:r>
        <w:rPr>
          <w:rFonts w:hint="eastAsia"/>
          <w:color w:val="auto"/>
          <w:lang w:val="en-US" w:eastAsia="zh-CN"/>
        </w:rPr>
        <w:t>砌体填充墙、隔墙等围护构件连接的安全性，应按下列规定进行检查，符合或基本符合时，可评为a</w:t>
      </w:r>
      <w:r>
        <w:rPr>
          <w:rFonts w:hint="eastAsia" w:hAnsi="Cambria Math" w:cs="宋体"/>
          <w:color w:val="auto"/>
          <w:kern w:val="0"/>
          <w:szCs w:val="24"/>
          <w:vertAlign w:val="subscript"/>
          <w:lang w:val="en-US" w:eastAsia="zh-CN" w:bidi="ar"/>
        </w:rPr>
        <w:t>u</w:t>
      </w:r>
      <w:r>
        <w:rPr>
          <w:rFonts w:hint="eastAsia"/>
          <w:color w:val="auto"/>
          <w:lang w:val="en-US" w:eastAsia="zh-CN"/>
        </w:rPr>
        <w:t>级或b</w:t>
      </w:r>
      <w:r>
        <w:rPr>
          <w:rFonts w:hint="eastAsia" w:hAnsi="Cambria Math" w:cs="宋体"/>
          <w:color w:val="auto"/>
          <w:kern w:val="0"/>
          <w:szCs w:val="24"/>
          <w:vertAlign w:val="subscript"/>
          <w:lang w:val="en-US" w:eastAsia="zh-CN" w:bidi="ar"/>
        </w:rPr>
        <w:t>u</w:t>
      </w:r>
      <w:r>
        <w:rPr>
          <w:rFonts w:hint="eastAsia"/>
          <w:color w:val="auto"/>
          <w:lang w:val="en-US" w:eastAsia="zh-CN"/>
        </w:rPr>
        <w:t>级；不符合时，构件工作正常，且未见明显变形或损伤时，可评为b</w:t>
      </w:r>
      <w:r>
        <w:rPr>
          <w:rFonts w:hint="eastAsia" w:hAnsi="Cambria Math" w:cs="宋体"/>
          <w:color w:val="auto"/>
          <w:kern w:val="0"/>
          <w:szCs w:val="24"/>
          <w:vertAlign w:val="subscript"/>
          <w:lang w:val="en-US" w:eastAsia="zh-CN" w:bidi="ar"/>
        </w:rPr>
        <w:t>u</w:t>
      </w:r>
      <w:r>
        <w:rPr>
          <w:rFonts w:hint="eastAsia"/>
          <w:color w:val="auto"/>
          <w:lang w:val="en-US" w:eastAsia="zh-CN"/>
        </w:rPr>
        <w:t>级，否则应评为c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bookmarkEnd w:id="98"/>
    </w:p>
    <w:p>
      <w:pPr>
        <w:pStyle w:val="36"/>
        <w:bidi w:val="0"/>
        <w:rPr>
          <w:rFonts w:hint="eastAsia"/>
          <w:color w:val="auto"/>
          <w:lang w:val="en-US" w:eastAsia="zh-CN"/>
        </w:rPr>
      </w:pPr>
      <w:r>
        <w:rPr>
          <w:rFonts w:hint="eastAsia"/>
          <w:color w:val="auto"/>
          <w:lang w:val="en-US" w:eastAsia="zh-CN"/>
        </w:rPr>
        <w:t>多层砌体结构中的后砌的非承重砌体隔墙应沿墙高每隔500mm有2φ6钢筋与承重墙或柱拉结，并每边伸入墙内不应小于500mm；</w:t>
      </w:r>
    </w:p>
    <w:p>
      <w:pPr>
        <w:pStyle w:val="36"/>
        <w:bidi w:val="0"/>
        <w:rPr>
          <w:rFonts w:hint="eastAsia"/>
          <w:color w:val="auto"/>
          <w:lang w:val="en-US" w:eastAsia="zh-CN"/>
        </w:rPr>
      </w:pPr>
      <w:r>
        <w:rPr>
          <w:rFonts w:hint="eastAsia"/>
          <w:color w:val="auto"/>
          <w:lang w:val="en-US" w:eastAsia="zh-CN"/>
        </w:rPr>
        <w:t>钢筋混凝土结构中的砌体填充墙，尚应符合下列要求：</w:t>
      </w:r>
    </w:p>
    <w:p>
      <w:pPr>
        <w:pStyle w:val="37"/>
        <w:bidi w:val="0"/>
        <w:rPr>
          <w:rFonts w:hint="default"/>
          <w:color w:val="auto"/>
          <w:lang w:val="en-US" w:eastAsia="zh-CN"/>
        </w:rPr>
      </w:pPr>
      <w:r>
        <w:rPr>
          <w:rFonts w:hint="default"/>
          <w:color w:val="auto"/>
          <w:lang w:val="en-US" w:eastAsia="zh-CN"/>
        </w:rPr>
        <w:t>墙顶应与框架梁密切结合</w:t>
      </w:r>
      <w:r>
        <w:rPr>
          <w:rFonts w:hint="eastAsia"/>
          <w:color w:val="auto"/>
          <w:lang w:val="en-US" w:eastAsia="zh-CN"/>
        </w:rPr>
        <w:t>；</w:t>
      </w:r>
    </w:p>
    <w:p>
      <w:pPr>
        <w:pStyle w:val="37"/>
        <w:bidi w:val="0"/>
        <w:rPr>
          <w:rFonts w:hint="default"/>
          <w:color w:val="auto"/>
          <w:lang w:val="en-US" w:eastAsia="zh-CN"/>
        </w:rPr>
      </w:pPr>
      <w:r>
        <w:rPr>
          <w:rFonts w:hint="default"/>
          <w:color w:val="auto"/>
          <w:lang w:val="en-US" w:eastAsia="zh-CN"/>
        </w:rPr>
        <w:t>填充墙应沿框架柱全高每隔500mm~600mm设</w:t>
      </w:r>
      <w:r>
        <w:rPr>
          <w:rFonts w:hint="eastAsia"/>
          <w:color w:val="auto"/>
          <w:lang w:val="en-US" w:eastAsia="zh-CN"/>
        </w:rPr>
        <w:t>2φ6</w:t>
      </w:r>
      <w:r>
        <w:rPr>
          <w:rFonts w:hint="default"/>
          <w:color w:val="auto"/>
          <w:lang w:val="en-US" w:eastAsia="zh-CN"/>
        </w:rPr>
        <w:t>拉筋，拉筋伸</w:t>
      </w:r>
      <w:r>
        <w:rPr>
          <w:rFonts w:hint="eastAsia"/>
          <w:color w:val="auto"/>
          <w:lang w:val="en-US" w:eastAsia="zh-CN"/>
        </w:rPr>
        <w:t>入</w:t>
      </w:r>
      <w:r>
        <w:rPr>
          <w:rFonts w:hint="default"/>
          <w:color w:val="auto"/>
          <w:lang w:val="en-US" w:eastAsia="zh-CN"/>
        </w:rPr>
        <w:t>墙内的长度，宜沿墙全长贯通</w:t>
      </w:r>
      <w:r>
        <w:rPr>
          <w:rFonts w:hint="eastAsia"/>
          <w:color w:val="auto"/>
          <w:lang w:val="en-US" w:eastAsia="zh-CN"/>
        </w:rPr>
        <w:t>；</w:t>
      </w:r>
    </w:p>
    <w:p>
      <w:pPr>
        <w:pStyle w:val="37"/>
        <w:bidi w:val="0"/>
        <w:rPr>
          <w:rFonts w:hint="default"/>
          <w:color w:val="auto"/>
          <w:lang w:val="en-US" w:eastAsia="zh-CN"/>
        </w:rPr>
      </w:pPr>
      <w:r>
        <w:rPr>
          <w:rFonts w:hint="default"/>
          <w:color w:val="auto"/>
          <w:lang w:val="en-US" w:eastAsia="zh-CN"/>
        </w:rPr>
        <w:t>墙长大于5m时，墙顶与梁宜有拉结</w:t>
      </w:r>
      <w:r>
        <w:rPr>
          <w:rFonts w:hint="eastAsia"/>
          <w:color w:val="auto"/>
          <w:lang w:val="en-US" w:eastAsia="zh-CN"/>
        </w:rPr>
        <w:t>；</w:t>
      </w:r>
      <w:r>
        <w:rPr>
          <w:rFonts w:hint="default"/>
          <w:color w:val="auto"/>
          <w:lang w:val="en-US" w:eastAsia="zh-CN"/>
        </w:rPr>
        <w:t>墙长超过8m或层高2倍时，宜设置钢筋混凝土构造柱</w:t>
      </w:r>
      <w:r>
        <w:rPr>
          <w:rFonts w:hint="eastAsia"/>
          <w:color w:val="auto"/>
          <w:lang w:val="en-US" w:eastAsia="zh-CN"/>
        </w:rPr>
        <w:t>；</w:t>
      </w:r>
      <w:r>
        <w:rPr>
          <w:rFonts w:hint="default"/>
          <w:color w:val="auto"/>
          <w:lang w:val="en-US" w:eastAsia="zh-CN"/>
        </w:rPr>
        <w:t>墙高超过4m时，墙体半高宜设置与柱连接且沿墙全长贯通的钢筋混凝土水平系梁</w:t>
      </w:r>
      <w:r>
        <w:rPr>
          <w:rFonts w:hint="eastAsia"/>
          <w:color w:val="auto"/>
          <w:lang w:val="en-US" w:eastAsia="zh-CN"/>
        </w:rPr>
        <w:t>；</w:t>
      </w:r>
    </w:p>
    <w:p>
      <w:pPr>
        <w:pStyle w:val="37"/>
        <w:bidi w:val="0"/>
        <w:rPr>
          <w:rFonts w:hint="default"/>
          <w:color w:val="auto"/>
          <w:lang w:val="en-US" w:eastAsia="zh-CN"/>
        </w:rPr>
      </w:pPr>
      <w:r>
        <w:rPr>
          <w:rFonts w:hint="default"/>
          <w:color w:val="auto"/>
          <w:lang w:val="en-US" w:eastAsia="zh-CN"/>
        </w:rPr>
        <w:t>楼梯间和人流通道的填充墙，尚应采用钢丝网砂浆面层加强。</w:t>
      </w:r>
    </w:p>
    <w:p>
      <w:pPr>
        <w:pStyle w:val="36"/>
        <w:bidi w:val="0"/>
        <w:rPr>
          <w:rFonts w:hint="eastAsia"/>
          <w:color w:val="auto"/>
          <w:lang w:val="en-US" w:eastAsia="zh-CN"/>
        </w:rPr>
      </w:pPr>
      <w:r>
        <w:rPr>
          <w:rFonts w:hint="eastAsia"/>
          <w:color w:val="auto"/>
          <w:lang w:val="en-US" w:eastAsia="zh-CN"/>
        </w:rPr>
        <w:t>钢结构中的围护墙，尚应符合下列要求：</w:t>
      </w:r>
    </w:p>
    <w:p>
      <w:pPr>
        <w:pStyle w:val="37"/>
        <w:bidi w:val="0"/>
        <w:rPr>
          <w:rFonts w:hint="default"/>
          <w:color w:val="auto"/>
          <w:lang w:val="en-US" w:eastAsia="zh-CN"/>
        </w:rPr>
      </w:pPr>
      <w:r>
        <w:rPr>
          <w:rFonts w:hint="eastAsia"/>
          <w:color w:val="auto"/>
          <w:lang w:val="en-US" w:eastAsia="zh-CN"/>
        </w:rPr>
        <w:t xml:space="preserve">应优先采用轻型板材，预制钢筋混凝土墙板宜与柱柔性连接； </w:t>
      </w:r>
    </w:p>
    <w:p>
      <w:pPr>
        <w:pStyle w:val="37"/>
        <w:bidi w:val="0"/>
        <w:rPr>
          <w:rFonts w:hint="default"/>
          <w:color w:val="auto"/>
          <w:lang w:val="en-US" w:eastAsia="zh-CN"/>
        </w:rPr>
      </w:pPr>
      <w:r>
        <w:rPr>
          <w:rFonts w:hint="eastAsia"/>
          <w:color w:val="auto"/>
          <w:lang w:val="en-US" w:eastAsia="zh-CN"/>
        </w:rPr>
        <w:t>砌体围护墙应贴砌并与柱拉结，尚应采取措施使墙体不妨碍厂房柱列沿纵向的水平位移。</w:t>
      </w:r>
    </w:p>
    <w:p>
      <w:pPr>
        <w:pStyle w:val="36"/>
        <w:bidi w:val="0"/>
        <w:rPr>
          <w:rFonts w:hint="eastAsia"/>
          <w:color w:val="auto"/>
          <w:lang w:val="en-US" w:eastAsia="zh-CN"/>
        </w:rPr>
      </w:pPr>
      <w:r>
        <w:rPr>
          <w:rFonts w:hint="eastAsia"/>
          <w:color w:val="auto"/>
          <w:lang w:val="en-US" w:eastAsia="zh-CN"/>
        </w:rPr>
        <w:t xml:space="preserve">木结构中围护墙应符合下列要求： </w:t>
      </w:r>
    </w:p>
    <w:p>
      <w:pPr>
        <w:pStyle w:val="37"/>
        <w:bidi w:val="0"/>
        <w:rPr>
          <w:color w:val="auto"/>
        </w:rPr>
      </w:pPr>
      <w:r>
        <w:rPr>
          <w:rFonts w:hint="eastAsia"/>
          <w:color w:val="auto"/>
          <w:lang w:val="en-US" w:eastAsia="zh-CN"/>
        </w:rPr>
        <w:t>沿墙高每隔</w:t>
      </w:r>
      <w:r>
        <w:rPr>
          <w:rFonts w:hint="default"/>
          <w:color w:val="auto"/>
          <w:lang w:val="en-US" w:eastAsia="zh-CN"/>
        </w:rPr>
        <w:t>500mm</w:t>
      </w:r>
      <w:r>
        <w:rPr>
          <w:rFonts w:hint="eastAsia"/>
          <w:color w:val="auto"/>
          <w:lang w:val="en-US" w:eastAsia="zh-CN"/>
        </w:rPr>
        <w:t xml:space="preserve">左右，应采用 </w:t>
      </w:r>
      <w:r>
        <w:rPr>
          <w:rFonts w:hint="default"/>
          <w:color w:val="auto"/>
          <w:lang w:val="en-US" w:eastAsia="zh-CN"/>
        </w:rPr>
        <w:t xml:space="preserve">8 </w:t>
      </w:r>
      <w:r>
        <w:rPr>
          <w:rFonts w:hint="eastAsia"/>
          <w:color w:val="auto"/>
          <w:lang w:val="en-US" w:eastAsia="zh-CN"/>
        </w:rPr>
        <w:t xml:space="preserve">号铁丝将墙体内的水平拉接筋或拉结网片与木柱拉结； </w:t>
      </w:r>
    </w:p>
    <w:p>
      <w:pPr>
        <w:pStyle w:val="37"/>
        <w:bidi w:val="0"/>
        <w:rPr>
          <w:color w:val="auto"/>
        </w:rPr>
      </w:pPr>
      <w:r>
        <w:rPr>
          <w:rFonts w:hint="eastAsia"/>
          <w:color w:val="auto"/>
          <w:lang w:val="en-US" w:eastAsia="zh-CN"/>
        </w:rPr>
        <w:t>配筋砖圈梁、配筋砂浆带与木柱应采用φ</w:t>
      </w:r>
      <w:r>
        <w:rPr>
          <w:rFonts w:hint="default"/>
          <w:color w:val="auto"/>
          <w:lang w:val="en-US" w:eastAsia="zh-CN"/>
        </w:rPr>
        <w:t xml:space="preserve">6 </w:t>
      </w:r>
      <w:r>
        <w:rPr>
          <w:rFonts w:hint="eastAsia"/>
          <w:color w:val="auto"/>
          <w:lang w:val="en-US" w:eastAsia="zh-CN"/>
        </w:rPr>
        <w:t>钢筋或</w:t>
      </w:r>
      <w:r>
        <w:rPr>
          <w:rFonts w:hint="default"/>
          <w:color w:val="auto"/>
          <w:lang w:val="en-US" w:eastAsia="zh-CN"/>
        </w:rPr>
        <w:t>8</w:t>
      </w:r>
      <w:r>
        <w:rPr>
          <w:rFonts w:hint="eastAsia"/>
          <w:color w:val="auto"/>
          <w:lang w:val="en-US" w:eastAsia="zh-CN"/>
        </w:rPr>
        <w:t xml:space="preserve">号铁丝拉结； </w:t>
      </w:r>
    </w:p>
    <w:p>
      <w:pPr>
        <w:pStyle w:val="37"/>
        <w:bidi w:val="0"/>
        <w:rPr>
          <w:color w:val="auto"/>
        </w:rPr>
      </w:pPr>
      <w:r>
        <w:rPr>
          <w:rFonts w:hint="eastAsia"/>
          <w:color w:val="auto"/>
          <w:lang w:val="en-US" w:eastAsia="zh-CN"/>
        </w:rPr>
        <w:t xml:space="preserve">砖等砌筑的围护墙，横墙和内纵墙上的洞口宽度不宜大于 </w:t>
      </w:r>
      <w:r>
        <w:rPr>
          <w:rFonts w:hint="default"/>
          <w:color w:val="auto"/>
          <w:lang w:val="en-US" w:eastAsia="zh-CN"/>
        </w:rPr>
        <w:t>1.5m</w:t>
      </w:r>
      <w:r>
        <w:rPr>
          <w:rFonts w:hint="eastAsia"/>
          <w:color w:val="auto"/>
          <w:lang w:val="en-US" w:eastAsia="zh-CN"/>
        </w:rPr>
        <w:t xml:space="preserve">，外纵墙上的洞口宽度不宜大于 </w:t>
      </w:r>
      <w:r>
        <w:rPr>
          <w:rFonts w:hint="default"/>
          <w:color w:val="auto"/>
          <w:lang w:val="en-US" w:eastAsia="zh-CN"/>
        </w:rPr>
        <w:t xml:space="preserve">1.8m </w:t>
      </w:r>
      <w:r>
        <w:rPr>
          <w:rFonts w:hint="eastAsia"/>
          <w:color w:val="auto"/>
          <w:lang w:val="en-US" w:eastAsia="zh-CN"/>
        </w:rPr>
        <w:t xml:space="preserve">或开间尺寸的一半； </w:t>
      </w:r>
    </w:p>
    <w:p>
      <w:pPr>
        <w:pStyle w:val="37"/>
        <w:bidi w:val="0"/>
        <w:rPr>
          <w:color w:val="auto"/>
        </w:rPr>
      </w:pPr>
      <w:r>
        <w:rPr>
          <w:rFonts w:hint="eastAsia"/>
          <w:color w:val="auto"/>
          <w:lang w:val="en-US" w:eastAsia="zh-CN"/>
        </w:rPr>
        <w:t>围护墙不应将木柱完全包裹，应贴砌在木柱外侧。</w:t>
      </w:r>
    </w:p>
    <w:p>
      <w:pPr>
        <w:pStyle w:val="5"/>
        <w:bidi w:val="0"/>
        <w:ind w:left="0" w:leftChars="0" w:firstLine="0" w:firstLineChars="0"/>
        <w:rPr>
          <w:rFonts w:hint="default"/>
          <w:color w:val="auto"/>
          <w:lang w:val="en-US" w:eastAsia="zh-CN"/>
        </w:rPr>
      </w:pPr>
      <w:r>
        <w:rPr>
          <w:rFonts w:hint="eastAsia"/>
          <w:color w:val="auto"/>
          <w:lang w:val="en-US" w:eastAsia="zh-CN"/>
        </w:rPr>
        <w:t>围护构件存在以下情况时，可直接评为c</w:t>
      </w:r>
      <w:r>
        <w:rPr>
          <w:rFonts w:hint="eastAsia" w:hAnsi="Cambria Math" w:cs="宋体"/>
          <w:color w:val="auto"/>
          <w:kern w:val="0"/>
          <w:szCs w:val="24"/>
          <w:vertAlign w:val="subscript"/>
          <w:lang w:val="en-US" w:eastAsia="zh-CN" w:bidi="ar"/>
        </w:rPr>
        <w:t>u</w:t>
      </w:r>
      <w:r>
        <w:rPr>
          <w:rFonts w:hint="eastAsia"/>
          <w:color w:val="auto"/>
          <w:lang w:val="en-US" w:eastAsia="zh-CN"/>
        </w:rPr>
        <w:t>级：</w:t>
      </w:r>
    </w:p>
    <w:p>
      <w:pPr>
        <w:pStyle w:val="36"/>
        <w:bidi w:val="0"/>
        <w:rPr>
          <w:rFonts w:hint="default"/>
          <w:color w:val="auto"/>
          <w:lang w:val="en-US" w:eastAsia="zh-CN"/>
        </w:rPr>
      </w:pPr>
      <w:r>
        <w:rPr>
          <w:rFonts w:hint="eastAsia"/>
          <w:color w:val="auto"/>
          <w:lang w:val="en-US" w:eastAsia="zh-CN"/>
        </w:rPr>
        <w:t>围护构件存在明显开裂、破损、歪闪，或与主体连接部位明显开裂。</w:t>
      </w:r>
    </w:p>
    <w:p>
      <w:pPr>
        <w:pStyle w:val="36"/>
        <w:bidi w:val="0"/>
        <w:rPr>
          <w:rFonts w:hint="eastAsia"/>
          <w:color w:val="auto"/>
          <w:lang w:val="en-US" w:eastAsia="zh-CN"/>
        </w:rPr>
      </w:pPr>
      <w:r>
        <w:rPr>
          <w:rFonts w:hint="eastAsia"/>
          <w:color w:val="auto"/>
          <w:lang w:val="en-US" w:eastAsia="zh-CN"/>
        </w:rPr>
        <w:t>围护墙附属广告牌、空调支架、护栏等存在明显的锈蚀损伤，或锚固节点存在松动等。</w:t>
      </w:r>
    </w:p>
    <w:p>
      <w:pPr>
        <w:pStyle w:val="36"/>
        <w:bidi w:val="0"/>
        <w:rPr>
          <w:rFonts w:hint="eastAsia"/>
          <w:color w:val="auto"/>
          <w:lang w:val="en-US" w:eastAsia="zh-CN"/>
        </w:rPr>
      </w:pPr>
      <w:r>
        <w:rPr>
          <w:rFonts w:hint="eastAsia"/>
          <w:color w:val="auto"/>
          <w:lang w:val="en-US" w:eastAsia="zh-CN"/>
        </w:rPr>
        <w:t>围护墙表面饰面层出现明显开裂、空鼓，存在脱落风险。</w:t>
      </w:r>
    </w:p>
    <w:p>
      <w:pPr>
        <w:pStyle w:val="36"/>
        <w:bidi w:val="0"/>
        <w:rPr>
          <w:rFonts w:hint="default"/>
          <w:color w:val="auto"/>
          <w:lang w:val="en-US" w:eastAsia="zh-CN"/>
        </w:rPr>
      </w:pPr>
      <w:r>
        <w:rPr>
          <w:rFonts w:hint="eastAsia"/>
          <w:color w:val="auto"/>
          <w:lang w:val="en-US" w:eastAsia="zh-CN"/>
        </w:rPr>
        <w:t>女儿墙存在明显外倾、根部严重开裂。</w:t>
      </w:r>
    </w:p>
    <w:p>
      <w:pPr>
        <w:pStyle w:val="36"/>
        <w:bidi w:val="0"/>
        <w:rPr>
          <w:rFonts w:hint="default"/>
          <w:color w:val="auto"/>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color w:val="auto"/>
          <w:lang w:val="en-US" w:eastAsia="zh-CN"/>
        </w:rPr>
        <w:t>混凝土栏杆明显变形或开裂；金属栏杆和扶手大面积锈蚀；木栏杆、扶手有裂缝、腐朽、蚁蚀，或节点明显松动、歪闪严重，少量拔榫；与建筑主体连接明显松动。</w:t>
      </w:r>
    </w:p>
    <w:p>
      <w:pPr>
        <w:pStyle w:val="2"/>
        <w:bidi w:val="0"/>
        <w:ind w:left="0" w:leftChars="0" w:firstLine="0" w:firstLineChars="0"/>
        <w:rPr>
          <w:rFonts w:hint="default"/>
          <w:color w:val="auto"/>
          <w:lang w:val="en-US" w:eastAsia="zh-CN"/>
        </w:rPr>
      </w:pPr>
      <w:bookmarkStart w:id="99" w:name="_Toc19821"/>
      <w:bookmarkStart w:id="100" w:name="_Toc11107"/>
      <w:r>
        <w:rPr>
          <w:rFonts w:hint="eastAsia"/>
          <w:color w:val="auto"/>
          <w:lang w:val="en-US" w:eastAsia="zh-CN"/>
        </w:rPr>
        <w:t>检测技术要求</w:t>
      </w:r>
      <w:bookmarkEnd w:id="99"/>
      <w:bookmarkEnd w:id="100"/>
    </w:p>
    <w:p>
      <w:pPr>
        <w:pStyle w:val="5"/>
        <w:numPr>
          <w:ilvl w:val="2"/>
          <w:numId w:val="0"/>
        </w:numPr>
        <w:bidi w:val="0"/>
        <w:ind w:leftChars="0"/>
        <w:rPr>
          <w:color w:val="auto"/>
        </w:rPr>
      </w:pPr>
      <w:r>
        <w:rPr>
          <w:rFonts w:hint="eastAsia"/>
          <w:color w:val="auto"/>
          <w:lang w:val="en-US" w:eastAsia="zh-CN"/>
        </w:rPr>
        <w:t>8.0.1 现场检测宜采用无损和微破损检测方法。检测方法可根据现场检测条件、检测目的等，按本导则附录A选取。</w:t>
      </w:r>
    </w:p>
    <w:p>
      <w:pPr>
        <w:pStyle w:val="5"/>
        <w:numPr>
          <w:ilvl w:val="2"/>
          <w:numId w:val="0"/>
        </w:numPr>
        <w:bidi w:val="0"/>
        <w:ind w:leftChars="0"/>
        <w:rPr>
          <w:rFonts w:hint="default"/>
          <w:color w:val="auto"/>
          <w:lang w:val="en-US" w:eastAsia="zh-CN"/>
        </w:rPr>
      </w:pPr>
      <w:r>
        <w:rPr>
          <w:rFonts w:hint="eastAsia"/>
          <w:color w:val="auto"/>
          <w:lang w:val="en-US" w:eastAsia="zh-CN"/>
        </w:rPr>
        <w:t>8.0.2 选用微破损检测方法时，宜选择结构构件受力较小部位进行测试。现场检测结束后，应及时修补因检测造成的结构或构件的局部损伤。</w:t>
      </w:r>
    </w:p>
    <w:p>
      <w:pPr>
        <w:rPr>
          <w:rFonts w:hint="default"/>
          <w:color w:val="auto"/>
          <w:lang w:val="en-US" w:eastAsia="zh-CN"/>
        </w:rPr>
        <w:sectPr>
          <w:pgSz w:w="11906" w:h="16838"/>
          <w:pgMar w:top="1440" w:right="1800" w:bottom="1440" w:left="1800" w:header="851" w:footer="992" w:gutter="0"/>
          <w:pgNumType w:fmt="decimal"/>
          <w:cols w:space="425" w:num="1"/>
          <w:docGrid w:type="lines" w:linePitch="312" w:charSpace="0"/>
        </w:sectPr>
      </w:pPr>
    </w:p>
    <w:p>
      <w:pPr>
        <w:pStyle w:val="2"/>
        <w:bidi w:val="0"/>
        <w:ind w:left="0" w:leftChars="0" w:firstLine="0" w:firstLineChars="0"/>
        <w:rPr>
          <w:rFonts w:hint="default"/>
          <w:color w:val="auto"/>
          <w:lang w:val="en-US" w:eastAsia="zh-CN"/>
        </w:rPr>
      </w:pPr>
      <w:bookmarkStart w:id="101" w:name="_Toc24382"/>
      <w:bookmarkStart w:id="102" w:name="_Toc17664"/>
      <w:bookmarkStart w:id="103" w:name="_Toc28048"/>
      <w:r>
        <w:rPr>
          <w:rFonts w:hint="eastAsia"/>
          <w:color w:val="auto"/>
          <w:lang w:val="en-US" w:eastAsia="zh-CN"/>
        </w:rPr>
        <w:t>鉴定报告</w:t>
      </w:r>
      <w:bookmarkEnd w:id="101"/>
      <w:r>
        <w:rPr>
          <w:rFonts w:hint="eastAsia"/>
          <w:color w:val="auto"/>
          <w:lang w:val="en-US" w:eastAsia="zh-CN"/>
        </w:rPr>
        <w:t>要求</w:t>
      </w:r>
      <w:bookmarkEnd w:id="102"/>
      <w:bookmarkEnd w:id="103"/>
    </w:p>
    <w:p>
      <w:pPr>
        <w:pStyle w:val="5"/>
        <w:numPr>
          <w:ilvl w:val="2"/>
          <w:numId w:val="0"/>
        </w:numPr>
        <w:bidi w:val="0"/>
        <w:ind w:leftChars="0"/>
        <w:rPr>
          <w:rFonts w:hint="eastAsia"/>
          <w:color w:val="auto"/>
          <w:lang w:val="en-US" w:eastAsia="zh-CN"/>
        </w:rPr>
      </w:pPr>
      <w:r>
        <w:rPr>
          <w:rFonts w:hint="eastAsia"/>
          <w:color w:val="auto"/>
          <w:lang w:val="en-US" w:eastAsia="zh-CN"/>
        </w:rPr>
        <w:t>9.0.1 民用建筑安全性微</w:t>
      </w:r>
      <w:r>
        <w:rPr>
          <w:color w:val="auto"/>
        </w:rPr>
        <w:t>鉴定</w:t>
      </w:r>
      <w:r>
        <w:rPr>
          <w:color w:val="auto"/>
          <w:lang w:val="en-US" w:eastAsia="zh-CN"/>
        </w:rPr>
        <w:t>报告应当使</w:t>
      </w:r>
      <w:r>
        <w:rPr>
          <w:rFonts w:hint="eastAsia"/>
          <w:color w:val="auto"/>
          <w:lang w:val="en-US" w:eastAsia="zh-CN"/>
        </w:rPr>
        <w:t>用规范的专业术语，报告应条理清晰、数据详实、结论明确、内容完整。</w:t>
      </w:r>
    </w:p>
    <w:p>
      <w:pPr>
        <w:pStyle w:val="5"/>
        <w:numPr>
          <w:ilvl w:val="2"/>
          <w:numId w:val="0"/>
        </w:numPr>
        <w:bidi w:val="0"/>
        <w:ind w:leftChars="0"/>
        <w:rPr>
          <w:color w:val="auto"/>
        </w:rPr>
      </w:pPr>
      <w:r>
        <w:rPr>
          <w:rFonts w:hint="eastAsia"/>
          <w:color w:val="auto"/>
          <w:lang w:val="en-US" w:eastAsia="zh-CN"/>
        </w:rPr>
        <w:t>9.0.2 民用建筑安全性微</w:t>
      </w:r>
      <w:r>
        <w:rPr>
          <w:color w:val="auto"/>
        </w:rPr>
        <w:t>鉴定报告应</w:t>
      </w:r>
      <w:r>
        <w:rPr>
          <w:rFonts w:hint="eastAsia"/>
          <w:color w:val="auto"/>
          <w:lang w:val="en-US" w:eastAsia="zh-CN"/>
        </w:rPr>
        <w:t>至少</w:t>
      </w:r>
      <w:r>
        <w:rPr>
          <w:color w:val="auto"/>
        </w:rPr>
        <w:t>包括建筑物概况</w:t>
      </w:r>
      <w:r>
        <w:rPr>
          <w:rFonts w:hint="eastAsia"/>
          <w:color w:val="auto"/>
          <w:lang w:eastAsia="zh-CN"/>
        </w:rPr>
        <w:t>，</w:t>
      </w:r>
      <w:r>
        <w:rPr>
          <w:color w:val="auto"/>
        </w:rPr>
        <w:t>鉴定的目的、范围和内容</w:t>
      </w:r>
      <w:r>
        <w:rPr>
          <w:rFonts w:hint="eastAsia"/>
          <w:color w:val="auto"/>
          <w:lang w:eastAsia="zh-CN"/>
        </w:rPr>
        <w:t>，</w:t>
      </w:r>
      <w:r>
        <w:rPr>
          <w:rFonts w:hint="eastAsia"/>
          <w:color w:val="auto"/>
          <w:lang w:val="en-US" w:eastAsia="zh-CN"/>
        </w:rPr>
        <w:t>检测鉴定依据，检测设备，调查检测和分析的过程和结果</w:t>
      </w:r>
      <w:r>
        <w:rPr>
          <w:rFonts w:hint="eastAsia"/>
          <w:color w:val="auto"/>
          <w:lang w:eastAsia="zh-CN"/>
        </w:rPr>
        <w:t>，</w:t>
      </w:r>
      <w:r>
        <w:rPr>
          <w:rFonts w:hint="eastAsia"/>
          <w:color w:val="auto"/>
          <w:lang w:val="en-US" w:eastAsia="zh-CN"/>
        </w:rPr>
        <w:t>鉴定评级过程和结果，</w:t>
      </w:r>
      <w:r>
        <w:rPr>
          <w:color w:val="auto"/>
        </w:rPr>
        <w:t>结论与建议</w:t>
      </w:r>
      <w:r>
        <w:rPr>
          <w:rFonts w:hint="eastAsia"/>
          <w:color w:val="auto"/>
          <w:lang w:eastAsia="zh-CN"/>
        </w:rPr>
        <w:t>，</w:t>
      </w:r>
      <w:r>
        <w:rPr>
          <w:color w:val="auto"/>
        </w:rPr>
        <w:t>附件</w:t>
      </w:r>
      <w:r>
        <w:rPr>
          <w:rFonts w:hint="eastAsia"/>
          <w:color w:val="auto"/>
          <w:lang w:val="en-US" w:eastAsia="zh-CN"/>
        </w:rPr>
        <w:t>等</w:t>
      </w:r>
      <w:r>
        <w:rPr>
          <w:color w:val="auto"/>
        </w:rPr>
        <w:t>。</w:t>
      </w:r>
    </w:p>
    <w:p>
      <w:pPr>
        <w:pStyle w:val="5"/>
        <w:numPr>
          <w:ilvl w:val="2"/>
          <w:numId w:val="0"/>
        </w:numPr>
        <w:bidi w:val="0"/>
        <w:ind w:leftChars="0"/>
        <w:rPr>
          <w:color w:val="auto"/>
        </w:rPr>
      </w:pPr>
      <w:r>
        <w:rPr>
          <w:rFonts w:hint="eastAsia"/>
          <w:color w:val="auto"/>
          <w:lang w:val="en-US" w:eastAsia="zh-CN"/>
        </w:rPr>
        <w:t xml:space="preserve">9.0.3 </w:t>
      </w:r>
      <w:r>
        <w:rPr>
          <w:color w:val="auto"/>
        </w:rPr>
        <w:t>鉴定报告中应</w:t>
      </w:r>
      <w:r>
        <w:rPr>
          <w:rFonts w:hint="eastAsia"/>
          <w:color w:val="auto"/>
          <w:lang w:val="en-US" w:eastAsia="zh-CN"/>
        </w:rPr>
        <w:t>对</w:t>
      </w:r>
      <w:r>
        <w:rPr>
          <w:rFonts w:hint="eastAsia" w:ascii="Times New Roman" w:hAnsi="Times New Roman" w:cs="Times New Roman"/>
          <w:color w:val="auto"/>
          <w:lang w:val="en-US" w:eastAsia="zh-CN"/>
        </w:rPr>
        <w:t>c</w:t>
      </w:r>
      <w:r>
        <w:rPr>
          <w:rFonts w:hint="eastAsia" w:hAnsi="Cambria Math" w:cs="宋体"/>
          <w:color w:val="auto"/>
          <w:kern w:val="0"/>
          <w:szCs w:val="24"/>
          <w:vertAlign w:val="subscript"/>
          <w:lang w:val="en-US" w:eastAsia="zh-CN" w:bidi="ar"/>
        </w:rPr>
        <w:t>u</w:t>
      </w:r>
      <w:r>
        <w:rPr>
          <w:rFonts w:hint="eastAsia"/>
          <w:color w:val="auto"/>
          <w:lang w:val="en-US" w:eastAsia="zh-CN"/>
        </w:rPr>
        <w:t>级构件及C</w:t>
      </w:r>
      <w:r>
        <w:rPr>
          <w:rFonts w:hint="eastAsia"/>
          <w:color w:val="auto"/>
          <w:vertAlign w:val="subscript"/>
          <w:lang w:val="en-US" w:eastAsia="zh-CN"/>
        </w:rPr>
        <w:t>u</w:t>
      </w:r>
      <w:r>
        <w:rPr>
          <w:rFonts w:hint="eastAsia"/>
          <w:color w:val="auto"/>
          <w:lang w:val="en-US" w:eastAsia="zh-CN"/>
        </w:rPr>
        <w:t>级检查项目的数量、所处</w:t>
      </w:r>
      <w:r>
        <w:rPr>
          <w:color w:val="auto"/>
        </w:rPr>
        <w:t>位置</w:t>
      </w:r>
      <w:r>
        <w:rPr>
          <w:rFonts w:hint="eastAsia"/>
          <w:color w:val="auto"/>
          <w:lang w:val="en-US" w:eastAsia="zh-CN"/>
        </w:rPr>
        <w:t>及其</w:t>
      </w:r>
      <w:r>
        <w:rPr>
          <w:color w:val="auto"/>
        </w:rPr>
        <w:t>处理建议</w:t>
      </w:r>
      <w:r>
        <w:rPr>
          <w:rFonts w:hint="eastAsia"/>
          <w:color w:val="auto"/>
          <w:lang w:val="en-US" w:eastAsia="zh-CN"/>
        </w:rPr>
        <w:t>做出详细说明。当建筑整体等级为</w:t>
      </w: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w:r>
        <w:rPr>
          <w:rFonts w:hint="eastAsia"/>
          <w:color w:val="auto"/>
          <w:lang w:val="en-US" w:eastAsia="zh-CN"/>
        </w:rPr>
        <w:t>级时，应提出进行常规鉴定的建议。</w:t>
      </w:r>
    </w:p>
    <w:p>
      <w:pPr>
        <w:pStyle w:val="26"/>
        <w:bidi w:val="0"/>
        <w:rPr>
          <w:rFonts w:hint="eastAsia" w:ascii="Times New Roman" w:hAnsi="Times New Roman"/>
          <w:color w:val="auto"/>
          <w:lang w:val="en-US" w:eastAsia="zh-CN"/>
        </w:rPr>
      </w:pPr>
      <w:r>
        <w:rPr>
          <w:rFonts w:hint="eastAsia" w:ascii="Times New Roman" w:hAnsi="Times New Roman"/>
          <w:color w:val="auto"/>
          <w:lang w:val="en-US" w:eastAsia="zh-CN"/>
        </w:rPr>
        <w:t>【条文说明】根据微鉴定程序，</w:t>
      </w:r>
      <w:r>
        <w:rPr>
          <w:rFonts w:hint="eastAsia" w:ascii="宋体" w:hAnsi="宋体" w:cs="宋体"/>
          <w:color w:val="auto"/>
          <w:kern w:val="0"/>
          <w:sz w:val="24"/>
          <w:szCs w:val="24"/>
          <w:lang w:val="en-US" w:eastAsia="zh-CN" w:bidi="ar"/>
        </w:rPr>
        <w:t>C</w:t>
      </w:r>
      <w:r>
        <w:rPr>
          <w:rFonts w:hint="default" w:ascii="Times New Roman" w:hAnsi="Times New Roman" w:cs="Times New Roman"/>
          <w:i w:val="0"/>
          <w:color w:val="auto"/>
          <w:kern w:val="0"/>
          <w:sz w:val="24"/>
          <w:szCs w:val="24"/>
          <w:vertAlign w:val="subscript"/>
          <w:lang w:val="en-US" w:eastAsia="zh-CN" w:bidi="ar"/>
        </w:rPr>
        <w:t>su</w:t>
      </w:r>
      <w:r>
        <w:rPr>
          <w:rFonts w:hint="eastAsia" w:ascii="Times New Roman" w:hAnsi="Times New Roman"/>
          <w:color w:val="auto"/>
          <w:lang w:val="en-US" w:eastAsia="zh-CN"/>
        </w:rPr>
        <w:t>级的</w:t>
      </w:r>
      <w:r>
        <w:rPr>
          <w:rFonts w:hint="eastAsia"/>
          <w:color w:val="auto"/>
          <w:lang w:val="en-US" w:eastAsia="zh-CN"/>
        </w:rPr>
        <w:t>建筑</w:t>
      </w:r>
      <w:r>
        <w:rPr>
          <w:rFonts w:hint="eastAsia" w:ascii="Times New Roman" w:hAnsi="Times New Roman"/>
          <w:color w:val="auto"/>
          <w:lang w:val="en-US" w:eastAsia="zh-CN"/>
        </w:rPr>
        <w:t>转入常规鉴定程序，</w:t>
      </w:r>
      <w:r>
        <w:rPr>
          <w:rFonts w:hint="eastAsia" w:ascii="宋体" w:hAnsi="宋体" w:cs="宋体"/>
          <w:color w:val="auto"/>
          <w:kern w:val="0"/>
          <w:sz w:val="24"/>
          <w:szCs w:val="24"/>
          <w:lang w:val="en-US" w:eastAsia="zh-CN" w:bidi="ar"/>
        </w:rPr>
        <w:t>B</w:t>
      </w:r>
      <w:r>
        <w:rPr>
          <w:rFonts w:hint="default" w:ascii="Times New Roman" w:hAnsi="Times New Roman" w:cs="Times New Roman"/>
          <w:i w:val="0"/>
          <w:color w:val="auto"/>
          <w:kern w:val="0"/>
          <w:sz w:val="24"/>
          <w:szCs w:val="24"/>
          <w:vertAlign w:val="subscript"/>
          <w:lang w:val="en-US" w:eastAsia="zh-CN" w:bidi="ar"/>
        </w:rPr>
        <w:t>su</w:t>
      </w:r>
      <w:r>
        <w:rPr>
          <w:rFonts w:hint="eastAsia" w:ascii="Times New Roman" w:hAnsi="Times New Roman"/>
          <w:color w:val="auto"/>
          <w:lang w:val="en-US" w:eastAsia="zh-CN"/>
        </w:rPr>
        <w:t>级的</w:t>
      </w:r>
      <w:r>
        <w:rPr>
          <w:rFonts w:hint="eastAsia"/>
          <w:color w:val="auto"/>
          <w:lang w:val="en-US" w:eastAsia="zh-CN"/>
        </w:rPr>
        <w:t>建筑</w:t>
      </w:r>
      <w:r>
        <w:rPr>
          <w:rFonts w:hint="eastAsia" w:ascii="Times New Roman" w:hAnsi="Times New Roman"/>
          <w:color w:val="auto"/>
          <w:lang w:val="en-US" w:eastAsia="zh-CN"/>
        </w:rPr>
        <w:t>，</w:t>
      </w:r>
      <w:r>
        <w:rPr>
          <w:rFonts w:hint="eastAsia"/>
          <w:color w:val="auto"/>
          <w:lang w:val="en-US" w:eastAsia="zh-CN"/>
        </w:rPr>
        <w:t>对</w:t>
      </w:r>
      <w:r>
        <w:rPr>
          <w:rFonts w:hint="eastAsia" w:ascii="Times New Roman" w:hAnsi="Times New Roman"/>
          <w:color w:val="auto"/>
          <w:lang w:val="en-US" w:eastAsia="zh-CN"/>
        </w:rPr>
        <w:t>存在不符合的构件</w:t>
      </w:r>
      <w:r>
        <w:rPr>
          <w:rFonts w:hint="eastAsia"/>
          <w:color w:val="auto"/>
          <w:lang w:val="en-US" w:eastAsia="zh-CN"/>
        </w:rPr>
        <w:t>，应</w:t>
      </w:r>
      <w:r>
        <w:rPr>
          <w:rFonts w:hint="eastAsia" w:ascii="Times New Roman" w:hAnsi="Times New Roman"/>
          <w:color w:val="auto"/>
          <w:lang w:val="en-US" w:eastAsia="zh-CN"/>
        </w:rPr>
        <w:t>根据严重程度提出相应的处理措施。</w:t>
      </w:r>
    </w:p>
    <w:p>
      <w:pPr>
        <w:rPr>
          <w:rFonts w:hint="eastAsia"/>
          <w:color w:val="auto"/>
          <w:lang w:eastAsia="zh-CN"/>
        </w:rPr>
      </w:pPr>
    </w:p>
    <w:p>
      <w:pPr>
        <w:rPr>
          <w:rFonts w:hint="eastAsia"/>
          <w:color w:val="auto"/>
          <w:lang w:eastAsia="zh-CN"/>
        </w:rPr>
        <w:sectPr>
          <w:headerReference r:id="rId12" w:type="default"/>
          <w:footerReference r:id="rId13" w:type="default"/>
          <w:pgSz w:w="11906" w:h="16838"/>
          <w:pgMar w:top="1440" w:right="1800" w:bottom="1440" w:left="1800" w:header="851" w:footer="992" w:gutter="0"/>
          <w:pgNumType w:fmt="decimal"/>
          <w:cols w:space="425" w:num="1"/>
          <w:docGrid w:type="lines" w:linePitch="312" w:charSpace="0"/>
        </w:sectPr>
      </w:pPr>
    </w:p>
    <w:p>
      <w:pPr>
        <w:pStyle w:val="34"/>
        <w:bidi w:val="0"/>
        <w:rPr>
          <w:rFonts w:hint="eastAsia"/>
          <w:color w:val="auto"/>
        </w:rPr>
      </w:pPr>
      <w:bookmarkStart w:id="104" w:name="_Toc24513"/>
      <w:r>
        <w:rPr>
          <w:rFonts w:hint="eastAsia"/>
          <w:color w:val="auto"/>
          <w:lang w:val="en-US" w:eastAsia="zh-CN"/>
        </w:rPr>
        <w:t xml:space="preserve"> </w:t>
      </w:r>
      <w:bookmarkStart w:id="105" w:name="_Toc31482"/>
      <w:r>
        <w:rPr>
          <w:rFonts w:hint="eastAsia"/>
          <w:color w:val="auto"/>
          <w:lang w:val="en-US" w:eastAsia="zh-CN"/>
        </w:rPr>
        <w:t>民用建筑安全性微鉴定检测技术</w:t>
      </w:r>
      <w:bookmarkEnd w:id="104"/>
      <w:bookmarkEnd w:id="105"/>
    </w:p>
    <w:p>
      <w:pPr>
        <w:pStyle w:val="33"/>
        <w:spacing w:before="156" w:beforeLines="50" w:after="156" w:afterLines="50"/>
        <w:ind w:firstLine="0" w:firstLineChars="0"/>
        <w:jc w:val="center"/>
        <w:rPr>
          <w:color w:val="auto"/>
        </w:rPr>
      </w:pPr>
      <w:r>
        <w:rPr>
          <w:color w:val="auto"/>
        </w:rPr>
        <w:t xml:space="preserve">表A </w:t>
      </w:r>
      <w:r>
        <w:rPr>
          <w:rFonts w:hint="eastAsia"/>
          <w:color w:val="auto"/>
          <w:lang w:val="en-US" w:eastAsia="zh-CN"/>
        </w:rPr>
        <w:t>民用建筑安全性微鉴定</w:t>
      </w:r>
      <w:r>
        <w:rPr>
          <w:color w:val="auto"/>
        </w:rPr>
        <w:t>无损、微损检测技术一览表</w:t>
      </w:r>
    </w:p>
    <w:tbl>
      <w:tblPr>
        <w:tblStyle w:val="2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839"/>
        <w:gridCol w:w="3381"/>
        <w:gridCol w:w="3066"/>
        <w:gridCol w:w="6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257"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序号</w:t>
            </w:r>
          </w:p>
        </w:tc>
        <w:tc>
          <w:tcPr>
            <w:tcW w:w="1489" w:type="pct"/>
            <w:gridSpan w:val="2"/>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检测</w:t>
            </w:r>
            <w:r>
              <w:rPr>
                <w:rFonts w:hint="eastAsia"/>
                <w:color w:val="auto"/>
                <w:sz w:val="21"/>
                <w:szCs w:val="21"/>
                <w:lang w:val="en-US" w:eastAsia="zh-CN"/>
              </w:rPr>
              <w:t>项目和</w:t>
            </w:r>
            <w:r>
              <w:rPr>
                <w:color w:val="auto"/>
                <w:sz w:val="21"/>
                <w:szCs w:val="21"/>
              </w:rPr>
              <w:t>内容</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无损、微损检测技术</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rFonts w:hint="eastAsia"/>
                <w:color w:val="auto"/>
                <w:sz w:val="21"/>
                <w:szCs w:val="21"/>
                <w:lang w:val="en-US" w:eastAsia="zh-CN"/>
              </w:rPr>
              <w:t>检测</w:t>
            </w:r>
            <w:r>
              <w:rPr>
                <w:color w:val="auto"/>
                <w:sz w:val="21"/>
                <w:szCs w:val="21"/>
              </w:rPr>
              <w:t>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color w:val="auto"/>
                <w:sz w:val="21"/>
                <w:szCs w:val="21"/>
              </w:rPr>
            </w:pPr>
            <w:r>
              <w:rPr>
                <w:rFonts w:hint="eastAsia" w:ascii="宋体" w:hAnsi="宋体" w:eastAsia="宋体" w:cs="宋体"/>
                <w:i w:val="0"/>
                <w:iCs w:val="0"/>
                <w:color w:val="auto"/>
                <w:kern w:val="0"/>
                <w:sz w:val="22"/>
                <w:szCs w:val="22"/>
                <w:u w:val="none"/>
                <w:lang w:val="en-US" w:eastAsia="zh-CN" w:bidi="ar"/>
              </w:rPr>
              <w:t>1</w:t>
            </w:r>
          </w:p>
        </w:tc>
        <w:tc>
          <w:tcPr>
            <w:tcW w:w="296" w:type="pct"/>
            <w:vMerge w:val="restar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eastAsia="宋体"/>
                <w:color w:val="auto"/>
                <w:sz w:val="21"/>
                <w:szCs w:val="21"/>
                <w:lang w:val="en-US" w:eastAsia="zh-CN"/>
              </w:rPr>
            </w:pPr>
            <w:r>
              <w:rPr>
                <w:color w:val="auto"/>
                <w:sz w:val="21"/>
                <w:szCs w:val="21"/>
              </w:rPr>
              <w:t>混凝土</w:t>
            </w:r>
            <w:r>
              <w:rPr>
                <w:rFonts w:hint="eastAsia"/>
                <w:color w:val="auto"/>
                <w:sz w:val="21"/>
                <w:szCs w:val="21"/>
                <w:lang w:val="en-US" w:eastAsia="zh-CN"/>
              </w:rPr>
              <w:t>结构</w:t>
            </w: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柱角筋直径、楼板钢筋直径、墙钢筋直径、层间连接钢筋锚固长度</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结构内部钢筋X射线法</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eastAsia="宋体"/>
                <w:color w:val="auto"/>
                <w:sz w:val="21"/>
                <w:szCs w:val="21"/>
                <w:lang w:eastAsia="zh-CN"/>
              </w:rPr>
            </w:pPr>
            <w:r>
              <w:rPr>
                <w:rFonts w:ascii="宋体" w:hAnsi="宋体" w:eastAsia="宋体" w:cs="宋体"/>
                <w:sz w:val="24"/>
                <w:szCs w:val="24"/>
              </w:rPr>
              <w:t>《X射线检测结构钢筋与内部缺陷技术规程》T/CECS 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color w:val="auto"/>
                <w:sz w:val="21"/>
                <w:szCs w:val="21"/>
                <w:lang w:val="en-US" w:eastAsia="zh-CN"/>
              </w:rPr>
            </w:pP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钢筋截面损失</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混凝土钢筋锈蚀&amp;电阻率综合测定仪</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《混凝土中钢筋检测技术</w:t>
            </w:r>
            <w:r>
              <w:rPr>
                <w:rFonts w:hint="eastAsia"/>
                <w:color w:val="auto"/>
                <w:sz w:val="21"/>
                <w:szCs w:val="21"/>
                <w:lang w:val="en-US" w:eastAsia="zh-CN"/>
              </w:rPr>
              <w:t>标准</w:t>
            </w:r>
            <w:r>
              <w:rPr>
                <w:color w:val="auto"/>
                <w:sz w:val="21"/>
                <w:szCs w:val="21"/>
              </w:rPr>
              <w:t>》JGJ/T 152</w:t>
            </w:r>
          </w:p>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《混凝土结构现场检测技术标准》GB/T 50784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color w:val="auto"/>
                <w:sz w:val="21"/>
                <w:szCs w:val="21"/>
                <w:lang w:val="en-US" w:eastAsia="zh-CN"/>
              </w:rPr>
            </w:pP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钢筋</w:t>
            </w:r>
            <w:r>
              <w:rPr>
                <w:rFonts w:hint="eastAsia"/>
                <w:color w:val="auto"/>
                <w:sz w:val="21"/>
                <w:szCs w:val="21"/>
                <w:lang w:val="en-US" w:eastAsia="zh-CN"/>
              </w:rPr>
              <w:t>间距</w:t>
            </w:r>
            <w:r>
              <w:rPr>
                <w:color w:val="auto"/>
                <w:sz w:val="21"/>
                <w:szCs w:val="21"/>
              </w:rPr>
              <w:t>、保护层厚度</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钢筋探测仪</w:t>
            </w:r>
          </w:p>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（电磁波）</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《混凝土中钢筋检测技术</w:t>
            </w:r>
            <w:r>
              <w:rPr>
                <w:rFonts w:hint="eastAsia"/>
                <w:color w:val="auto"/>
                <w:sz w:val="21"/>
                <w:szCs w:val="21"/>
                <w:lang w:val="en-US" w:eastAsia="zh-CN"/>
              </w:rPr>
              <w:t>标准</w:t>
            </w:r>
            <w:r>
              <w:rPr>
                <w:color w:val="auto"/>
                <w:sz w:val="21"/>
                <w:szCs w:val="21"/>
              </w:rPr>
              <w:t>》JGJ/T 152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color w:val="auto"/>
                <w:sz w:val="21"/>
                <w:szCs w:val="21"/>
                <w:lang w:val="en-US" w:eastAsia="zh-CN"/>
              </w:rPr>
            </w:pP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钢筋数量层数</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雷达波法</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《雷达法检测混凝土结构技术标准》JGJ/T 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eastAsia="宋体"/>
                <w:color w:val="auto"/>
                <w:sz w:val="21"/>
                <w:szCs w:val="21"/>
                <w:lang w:val="en-US" w:eastAsia="zh-CN"/>
              </w:rPr>
            </w:pPr>
          </w:p>
        </w:tc>
        <w:tc>
          <w:tcPr>
            <w:tcW w:w="1193" w:type="pct"/>
            <w:vMerge w:val="restar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混凝土内部缺陷</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雷达波法</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《雷达法检测混凝土结构技术标准》JGJ/T 456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vMerge w:val="continue"/>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ascii="Times New Roman" w:hAnsi="Times New Roman" w:eastAsia="宋体" w:cs="Times New Roman"/>
                <w:color w:val="auto"/>
                <w:kern w:val="2"/>
                <w:sz w:val="21"/>
                <w:szCs w:val="21"/>
                <w:lang w:val="en-US" w:eastAsia="zh-CN" w:bidi="ar-SA"/>
              </w:rPr>
            </w:pPr>
          </w:p>
        </w:tc>
        <w:tc>
          <w:tcPr>
            <w:tcW w:w="1082"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扫描式冲击回波仪</w:t>
            </w:r>
          </w:p>
        </w:tc>
        <w:tc>
          <w:tcPr>
            <w:tcW w:w="2170"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《冲击回波法检测混凝土缺陷技术规程》JGJ/T 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vMerge w:val="continue"/>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ascii="Times New Roman" w:hAnsi="Times New Roman" w:eastAsia="宋体" w:cs="Times New Roman"/>
                <w:color w:val="auto"/>
                <w:kern w:val="2"/>
                <w:sz w:val="21"/>
                <w:szCs w:val="21"/>
                <w:lang w:val="en-US" w:eastAsia="zh-CN" w:bidi="ar-SA"/>
              </w:rPr>
            </w:pPr>
          </w:p>
        </w:tc>
        <w:tc>
          <w:tcPr>
            <w:tcW w:w="1082"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非金属超声法</w:t>
            </w:r>
          </w:p>
        </w:tc>
        <w:tc>
          <w:tcPr>
            <w:tcW w:w="2170"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《超声法检测混凝土缺陷技术规程》T/CECS21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vMerge w:val="continue"/>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ascii="Times New Roman" w:hAnsi="Times New Roman" w:eastAsia="宋体" w:cs="Times New Roman"/>
                <w:color w:val="auto"/>
                <w:kern w:val="2"/>
                <w:sz w:val="21"/>
                <w:szCs w:val="21"/>
                <w:lang w:val="en-US" w:eastAsia="zh-CN" w:bidi="ar-SA"/>
              </w:rPr>
            </w:pPr>
          </w:p>
        </w:tc>
        <w:tc>
          <w:tcPr>
            <w:tcW w:w="1082"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阵列式超声仪成像分析</w:t>
            </w:r>
          </w:p>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（32或64阵位）</w:t>
            </w:r>
          </w:p>
        </w:tc>
        <w:tc>
          <w:tcPr>
            <w:tcW w:w="2170"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《超声法检测混凝土缺陷技术规程》T/CECS21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vMerge w:val="restar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混凝土强度</w:t>
            </w:r>
          </w:p>
        </w:tc>
        <w:tc>
          <w:tcPr>
            <w:tcW w:w="1082"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回弹法</w:t>
            </w:r>
          </w:p>
        </w:tc>
        <w:tc>
          <w:tcPr>
            <w:tcW w:w="2170"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《回弹法检测混凝土抗压强度技术规程》JGJ/T 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vMerge w:val="continue"/>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cs="Times New Roman"/>
                <w:color w:val="auto"/>
                <w:kern w:val="2"/>
                <w:sz w:val="21"/>
                <w:szCs w:val="21"/>
                <w:lang w:val="en-US" w:eastAsia="zh-CN" w:bidi="ar-SA"/>
              </w:rPr>
            </w:pPr>
          </w:p>
        </w:tc>
        <w:tc>
          <w:tcPr>
            <w:tcW w:w="1082"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超声-回弹法</w:t>
            </w:r>
          </w:p>
        </w:tc>
        <w:tc>
          <w:tcPr>
            <w:tcW w:w="2170"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《超声回弹综合法检测混凝土抗压强度技术规程》T/CECS 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r>
              <w:rPr>
                <w:rFonts w:hint="eastAsia" w:ascii="宋体" w:hAnsi="宋体" w:cs="宋体"/>
                <w:i w:val="0"/>
                <w:iCs w:val="0"/>
                <w:color w:val="auto"/>
                <w:kern w:val="0"/>
                <w:sz w:val="22"/>
                <w:szCs w:val="22"/>
                <w:u w:val="none"/>
                <w:lang w:val="en-US" w:eastAsia="zh-CN" w:bidi="ar"/>
              </w:rPr>
              <w:t>1</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ascii="Times New Roman" w:hAnsi="Times New Roman" w:eastAsia="宋体" w:cs="Times New Roman"/>
                <w:color w:val="auto"/>
                <w:kern w:val="2"/>
                <w:sz w:val="21"/>
                <w:szCs w:val="21"/>
                <w:lang w:val="en-US" w:eastAsia="zh-CN" w:bidi="ar-SA"/>
              </w:rPr>
            </w:pPr>
            <w:r>
              <w:rPr>
                <w:color w:val="auto"/>
                <w:sz w:val="21"/>
                <w:szCs w:val="21"/>
              </w:rPr>
              <w:t>楼板厚度</w:t>
            </w:r>
          </w:p>
        </w:tc>
        <w:tc>
          <w:tcPr>
            <w:tcW w:w="1082"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非金属超声法</w:t>
            </w:r>
          </w:p>
        </w:tc>
        <w:tc>
          <w:tcPr>
            <w:tcW w:w="2170"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《无损检测 超声测厚》GB/T 11344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裂缝表面宽度</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远距离裂缝观测仪</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《混凝土结构现场检测技术标准》GB/T 50784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296" w:type="pct"/>
            <w:vMerge w:val="restar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default" w:eastAsia="宋体"/>
                <w:color w:val="auto"/>
                <w:sz w:val="21"/>
                <w:szCs w:val="21"/>
                <w:lang w:val="en-US" w:eastAsia="zh-CN"/>
              </w:rPr>
            </w:pPr>
            <w:r>
              <w:rPr>
                <w:rFonts w:hint="eastAsia"/>
                <w:color w:val="auto"/>
                <w:sz w:val="21"/>
                <w:szCs w:val="21"/>
                <w:lang w:val="en-US" w:eastAsia="zh-CN"/>
              </w:rPr>
              <w:t>砌体结构</w:t>
            </w: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砖抗压强度</w:t>
            </w:r>
          </w:p>
        </w:tc>
        <w:tc>
          <w:tcPr>
            <w:tcW w:w="1082"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回弹法</w:t>
            </w:r>
          </w:p>
        </w:tc>
        <w:tc>
          <w:tcPr>
            <w:tcW w:w="2170" w:type="pct"/>
            <w:shd w:val="clear" w:color="auto" w:fill="auto"/>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ascii="Times New Roman" w:hAnsi="Times New Roman" w:eastAsia="宋体" w:cs="Times New Roman"/>
                <w:color w:val="auto"/>
                <w:kern w:val="2"/>
                <w:sz w:val="21"/>
                <w:szCs w:val="21"/>
                <w:lang w:val="en-US" w:eastAsia="zh-CN" w:bidi="ar-SA"/>
              </w:rPr>
            </w:pPr>
            <w:r>
              <w:rPr>
                <w:color w:val="auto"/>
                <w:sz w:val="21"/>
                <w:szCs w:val="21"/>
              </w:rPr>
              <w:t>《砌体工程现场检测技术标准》GB/T 50315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砂浆强度</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贯入法</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《贯入法检测砌筑砂浆抗压强度技术规程》JGJ/T 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r>
              <w:rPr>
                <w:rFonts w:hint="eastAsia" w:ascii="宋体" w:hAnsi="宋体" w:cs="宋体"/>
                <w:i w:val="0"/>
                <w:iCs w:val="0"/>
                <w:color w:val="auto"/>
                <w:kern w:val="0"/>
                <w:sz w:val="22"/>
                <w:szCs w:val="22"/>
                <w:u w:val="none"/>
                <w:lang w:val="en-US" w:eastAsia="zh-CN" w:bidi="ar"/>
              </w:rPr>
              <w:t>15</w:t>
            </w:r>
          </w:p>
        </w:tc>
        <w:tc>
          <w:tcPr>
            <w:tcW w:w="296" w:type="pct"/>
            <w:vMerge w:val="restar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color w:val="auto"/>
                <w:sz w:val="21"/>
                <w:szCs w:val="21"/>
                <w:lang w:val="en-US" w:eastAsia="zh-CN"/>
              </w:rPr>
            </w:pPr>
            <w:r>
              <w:rPr>
                <w:rFonts w:hint="eastAsia"/>
                <w:color w:val="auto"/>
                <w:sz w:val="21"/>
                <w:szCs w:val="21"/>
                <w:lang w:val="en-US" w:eastAsia="zh-CN"/>
              </w:rPr>
              <w:t>钢结构</w:t>
            </w: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钢材极限抗拉强度</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里氏硬度法</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《建筑结构检测技术标准》GB/T 50344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r>
              <w:rPr>
                <w:rFonts w:hint="eastAsia" w:ascii="宋体" w:hAnsi="宋体" w:cs="宋体"/>
                <w:i w:val="0"/>
                <w:iCs w:val="0"/>
                <w:color w:val="auto"/>
                <w:kern w:val="0"/>
                <w:sz w:val="22"/>
                <w:szCs w:val="22"/>
                <w:u w:val="none"/>
                <w:lang w:val="en-US" w:eastAsia="zh-CN" w:bidi="ar"/>
              </w:rPr>
              <w:t>6</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焊缝内部缺陷</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金属超声探伤</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rFonts w:hint="eastAsia"/>
                <w:color w:val="auto"/>
                <w:sz w:val="21"/>
                <w:szCs w:val="21"/>
                <w:lang w:eastAsia="zh-CN"/>
              </w:rPr>
              <w:t>《焊缝无损检测 超声检测 技术、检测等级和评定》GB</w:t>
            </w:r>
            <w:r>
              <w:rPr>
                <w:rFonts w:hint="eastAsia"/>
                <w:color w:val="auto"/>
                <w:sz w:val="21"/>
                <w:szCs w:val="21"/>
                <w:lang w:val="en-US" w:eastAsia="zh-CN"/>
              </w:rPr>
              <w:t>/</w:t>
            </w:r>
            <w:r>
              <w:rPr>
                <w:rFonts w:hint="eastAsia"/>
                <w:color w:val="auto"/>
                <w:sz w:val="21"/>
                <w:szCs w:val="21"/>
                <w:lang w:eastAsia="zh-CN"/>
              </w:rPr>
              <w:t>T 11345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r>
              <w:rPr>
                <w:rFonts w:hint="eastAsia" w:ascii="宋体" w:hAnsi="宋体" w:cs="宋体"/>
                <w:i w:val="0"/>
                <w:iCs w:val="0"/>
                <w:color w:val="auto"/>
                <w:kern w:val="0"/>
                <w:sz w:val="22"/>
                <w:szCs w:val="22"/>
                <w:u w:val="none"/>
                <w:lang w:val="en-US" w:eastAsia="zh-CN" w:bidi="ar"/>
              </w:rPr>
              <w:t>7</w:t>
            </w:r>
          </w:p>
        </w:tc>
        <w:tc>
          <w:tcPr>
            <w:tcW w:w="296" w:type="pct"/>
            <w:vMerge w:val="continue"/>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焊缝外观及近表面缺陷</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金属渗透探伤</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《钢结构现场检测技术标准》GB</w:t>
            </w:r>
            <w:r>
              <w:rPr>
                <w:rFonts w:hint="eastAsia"/>
                <w:color w:val="auto"/>
                <w:sz w:val="21"/>
                <w:szCs w:val="21"/>
                <w:lang w:val="en-US" w:eastAsia="zh-CN"/>
              </w:rPr>
              <w:t>/</w:t>
            </w:r>
            <w:r>
              <w:rPr>
                <w:color w:val="auto"/>
                <w:sz w:val="21"/>
                <w:szCs w:val="21"/>
              </w:rPr>
              <w:t>T 50621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257" w:type="pct"/>
            <w:noWrap w:val="0"/>
            <w:vAlign w:val="center"/>
          </w:tcPr>
          <w:p>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w:t>
            </w:r>
            <w:r>
              <w:rPr>
                <w:rFonts w:hint="eastAsia" w:ascii="宋体" w:hAnsi="宋体" w:cs="宋体"/>
                <w:i w:val="0"/>
                <w:iCs w:val="0"/>
                <w:color w:val="auto"/>
                <w:kern w:val="0"/>
                <w:sz w:val="22"/>
                <w:szCs w:val="22"/>
                <w:u w:val="none"/>
                <w:lang w:val="en-US" w:eastAsia="zh-CN" w:bidi="ar"/>
              </w:rPr>
              <w:t>8</w:t>
            </w:r>
          </w:p>
        </w:tc>
        <w:tc>
          <w:tcPr>
            <w:tcW w:w="296"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rFonts w:hint="eastAsia" w:eastAsia="宋体"/>
                <w:color w:val="auto"/>
                <w:sz w:val="21"/>
                <w:szCs w:val="21"/>
                <w:lang w:val="en-US" w:eastAsia="zh-CN"/>
              </w:rPr>
            </w:pPr>
            <w:r>
              <w:rPr>
                <w:rFonts w:hint="eastAsia"/>
                <w:color w:val="auto"/>
                <w:sz w:val="21"/>
                <w:szCs w:val="21"/>
                <w:lang w:val="en-US" w:eastAsia="zh-CN"/>
              </w:rPr>
              <w:t>木结构</w:t>
            </w:r>
          </w:p>
        </w:tc>
        <w:tc>
          <w:tcPr>
            <w:tcW w:w="1193"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木材密度、含水率、抗弯弹性模量、抗弯强度和顺纹抗压强度</w:t>
            </w:r>
          </w:p>
        </w:tc>
        <w:tc>
          <w:tcPr>
            <w:tcW w:w="1082"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应力波技术、阻抗仪技术</w:t>
            </w:r>
          </w:p>
        </w:tc>
        <w:tc>
          <w:tcPr>
            <w:tcW w:w="2170" w:type="pct"/>
            <w:noWrap w:val="0"/>
            <w:vAlign w:val="center"/>
          </w:tcPr>
          <w:p>
            <w:pPr>
              <w:widowControl/>
              <w:tabs>
                <w:tab w:val="left" w:pos="2566"/>
              </w:tabs>
              <w:kinsoku w:val="0"/>
              <w:autoSpaceDE w:val="0"/>
              <w:autoSpaceDN w:val="0"/>
              <w:adjustRightInd w:val="0"/>
              <w:snapToGrid w:val="0"/>
              <w:ind w:left="0" w:leftChars="0" w:firstLine="0" w:firstLineChars="0"/>
              <w:jc w:val="center"/>
              <w:textAlignment w:val="baseline"/>
              <w:rPr>
                <w:color w:val="auto"/>
                <w:sz w:val="21"/>
                <w:szCs w:val="21"/>
              </w:rPr>
            </w:pPr>
            <w:r>
              <w:rPr>
                <w:color w:val="auto"/>
                <w:sz w:val="21"/>
                <w:szCs w:val="21"/>
              </w:rPr>
              <w:t>《木结构现场检测技术标准》JGJ/T 488</w:t>
            </w:r>
          </w:p>
        </w:tc>
      </w:tr>
    </w:tbl>
    <w:p>
      <w:pPr>
        <w:ind w:firstLine="0" w:firstLineChars="0"/>
        <w:rPr>
          <w:rFonts w:hint="default"/>
          <w:color w:val="auto"/>
          <w:lang w:val="en-US" w:eastAsia="zh-CN"/>
        </w:rPr>
      </w:pPr>
    </w:p>
    <w:sectPr>
      <w:pgSz w:w="16838" w:h="11906" w:orient="landscape"/>
      <w:pgMar w:top="1800" w:right="1440" w:bottom="1800" w:left="144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98"/>
      </w:pPr>
      <w:r>
        <w:separator/>
      </w:r>
    </w:p>
  </w:endnote>
  <w:endnote w:type="continuationSeparator" w:id="1">
    <w:p>
      <w:pPr>
        <w:spacing w:line="240" w:lineRule="auto"/>
        <w:ind w:firstLine="498"/>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4"/>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14"/>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498"/>
      </w:pPr>
      <w:r>
        <w:separator/>
      </w:r>
    </w:p>
  </w:footnote>
  <w:footnote w:type="continuationSeparator" w:id="1">
    <w:p>
      <w:pPr>
        <w:spacing w:line="300" w:lineRule="auto"/>
        <w:ind w:firstLine="498"/>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auto" w:sz="0" w:space="0"/>
        <w:left w:val="none" w:color="auto" w:sz="0" w:space="0"/>
        <w:bottom w:val="none" w:color="auto" w:sz="0" w:space="1"/>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auto" w:sz="0" w:space="0"/>
        <w:left w:val="none" w:color="auto" w:sz="0" w:space="0"/>
        <w:bottom w:val="none" w:color="auto" w:sz="0" w:space="1"/>
        <w:right w:val="none" w:color="auto" w:sz="0" w:space="0"/>
        <w:between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top w:val="none" w:color="auto" w:sz="0" w:space="0"/>
        <w:left w:val="none" w:color="auto" w:sz="0" w:space="0"/>
        <w:bottom w:val="none" w:color="auto" w:sz="0" w:space="1"/>
        <w:right w:val="none" w:color="auto" w:sz="0" w:space="0"/>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FB0F8A"/>
    <w:multiLevelType w:val="multilevel"/>
    <w:tmpl w:val="8EFB0F8A"/>
    <w:lvl w:ilvl="0" w:tentative="0">
      <w:start w:val="1"/>
      <w:numFmt w:val="decimal"/>
      <w:suff w:val="space"/>
      <w:lvlText w:val="%1"/>
      <w:lvlJc w:val="left"/>
      <w:pPr>
        <w:tabs>
          <w:tab w:val="left" w:pos="0"/>
        </w:tabs>
        <w:ind w:left="0" w:firstLine="0"/>
      </w:pPr>
      <w:rPr>
        <w:rFonts w:hint="default" w:ascii="Times New Roman" w:hAnsi="Times New Roman" w:eastAsia="黑体"/>
        <w:sz w:val="32"/>
        <w:szCs w:val="32"/>
      </w:rPr>
    </w:lvl>
    <w:lvl w:ilvl="1" w:tentative="0">
      <w:start w:val="1"/>
      <w:numFmt w:val="decimal"/>
      <w:suff w:val="space"/>
      <w:lvlText w:val="%1.%2"/>
      <w:lvlJc w:val="left"/>
      <w:pPr>
        <w:tabs>
          <w:tab w:val="left" w:pos="0"/>
        </w:tabs>
        <w:ind w:left="0" w:firstLine="0"/>
      </w:pPr>
      <w:rPr>
        <w:rFonts w:hint="default" w:ascii="黑体" w:hAnsi="黑体" w:eastAsia="黑体"/>
        <w:sz w:val="28"/>
        <w:szCs w:val="28"/>
      </w:rPr>
    </w:lvl>
    <w:lvl w:ilvl="2" w:tentative="0">
      <w:start w:val="1"/>
      <w:numFmt w:val="decimal"/>
      <w:suff w:val="space"/>
      <w:lvlText w:val="%1.%2.%3"/>
      <w:lvlJc w:val="left"/>
      <w:pPr>
        <w:tabs>
          <w:tab w:val="left" w:pos="0"/>
        </w:tabs>
        <w:ind w:left="0" w:firstLine="0"/>
      </w:pPr>
      <w:rPr>
        <w:rFonts w:hint="default" w:ascii="宋体" w:hAnsi="宋体" w:eastAsia="宋体" w:cstheme="minorEastAsia"/>
        <w:sz w:val="24"/>
        <w:szCs w:val="28"/>
      </w:rPr>
    </w:lvl>
    <w:lvl w:ilvl="3" w:tentative="0">
      <w:start w:val="1"/>
      <w:numFmt w:val="decimal"/>
      <w:suff w:val="space"/>
      <w:lvlText w:val="%4"/>
      <w:lvlJc w:val="left"/>
      <w:pPr>
        <w:tabs>
          <w:tab w:val="left" w:pos="0"/>
        </w:tabs>
        <w:ind w:left="0" w:firstLine="402"/>
      </w:pPr>
      <w:rPr>
        <w:rFonts w:hint="default" w:ascii="Times New Roman" w:hAnsi="Times New Roman" w:eastAsia="宋体" w:cs="Times New Roman"/>
        <w:color w:val="000000" w:themeColor="text1"/>
        <w:sz w:val="24"/>
        <w14:textFill>
          <w14:solidFill>
            <w14:schemeClr w14:val="tx1"/>
          </w14:solidFill>
        </w14:textFill>
      </w:rPr>
    </w:lvl>
    <w:lvl w:ilvl="4" w:tentative="0">
      <w:start w:val="1"/>
      <w:numFmt w:val="decimal"/>
      <w:pStyle w:val="7"/>
      <w:suff w:val="space"/>
      <w:lvlText w:val="%5）"/>
      <w:lvlJc w:val="left"/>
      <w:pPr>
        <w:tabs>
          <w:tab w:val="left" w:pos="420"/>
        </w:tabs>
        <w:ind w:left="0" w:firstLine="402"/>
      </w:pPr>
      <w:rPr>
        <w:rFonts w:hint="default" w:ascii="黑体" w:hAnsi="黑体" w:eastAsia="黑体"/>
        <w:sz w:val="24"/>
      </w:rPr>
    </w:lvl>
    <w:lvl w:ilvl="5" w:tentative="0">
      <w:start w:val="1"/>
      <w:numFmt w:val="decimalEnclosedCircleChinese"/>
      <w:suff w:val="nothing"/>
      <w:lvlText w:val="%6"/>
      <w:lvlJc w:val="left"/>
      <w:pPr>
        <w:tabs>
          <w:tab w:val="left" w:pos="0"/>
        </w:tabs>
        <w:ind w:left="0" w:firstLine="402"/>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B26564D1"/>
    <w:multiLevelType w:val="singleLevel"/>
    <w:tmpl w:val="B26564D1"/>
    <w:lvl w:ilvl="0" w:tentative="0">
      <w:start w:val="1"/>
      <w:numFmt w:val="upperLetter"/>
      <w:pStyle w:val="34"/>
      <w:lvlText w:val="附录%1 "/>
      <w:lvlJc w:val="left"/>
      <w:pPr>
        <w:tabs>
          <w:tab w:val="left" w:pos="420"/>
        </w:tabs>
        <w:ind w:left="425" w:leftChars="0" w:hanging="425" w:firstLineChars="0"/>
      </w:pPr>
      <w:rPr>
        <w:rFonts w:hint="default"/>
      </w:rPr>
    </w:lvl>
  </w:abstractNum>
  <w:abstractNum w:abstractNumId="2">
    <w:nsid w:val="C2CD1E53"/>
    <w:multiLevelType w:val="singleLevel"/>
    <w:tmpl w:val="C2CD1E53"/>
    <w:lvl w:ilvl="0" w:tentative="0">
      <w:start w:val="1"/>
      <w:numFmt w:val="decimal"/>
      <w:lvlText w:val="%1 "/>
      <w:lvlJc w:val="left"/>
      <w:pPr>
        <w:tabs>
          <w:tab w:val="left" w:pos="420"/>
        </w:tabs>
        <w:ind w:left="425" w:leftChars="0" w:hanging="425" w:firstLineChars="0"/>
      </w:pPr>
      <w:rPr>
        <w:rFonts w:hint="default"/>
      </w:rPr>
    </w:lvl>
  </w:abstractNum>
  <w:abstractNum w:abstractNumId="3">
    <w:nsid w:val="C2EB51B0"/>
    <w:multiLevelType w:val="multilevel"/>
    <w:tmpl w:val="C2EB51B0"/>
    <w:lvl w:ilvl="0" w:tentative="0">
      <w:start w:val="1"/>
      <w:numFmt w:val="decimal"/>
      <w:suff w:val="space"/>
      <w:lvlText w:val="%1"/>
      <w:lvlJc w:val="left"/>
      <w:pPr>
        <w:tabs>
          <w:tab w:val="left" w:pos="0"/>
        </w:tabs>
        <w:ind w:left="0" w:firstLine="0"/>
      </w:pPr>
      <w:rPr>
        <w:rFonts w:hint="default" w:ascii="Times New Roman" w:hAnsi="Times New Roman" w:eastAsia="黑体"/>
        <w:sz w:val="32"/>
        <w:szCs w:val="32"/>
      </w:rPr>
    </w:lvl>
    <w:lvl w:ilvl="1" w:tentative="0">
      <w:start w:val="1"/>
      <w:numFmt w:val="decimal"/>
      <w:suff w:val="space"/>
      <w:lvlText w:val="%1.%2"/>
      <w:lvlJc w:val="left"/>
      <w:pPr>
        <w:tabs>
          <w:tab w:val="left" w:pos="0"/>
        </w:tabs>
        <w:ind w:left="0" w:firstLine="0"/>
      </w:pPr>
      <w:rPr>
        <w:rFonts w:hint="default" w:ascii="黑体" w:hAnsi="黑体" w:eastAsia="黑体"/>
        <w:sz w:val="28"/>
        <w:szCs w:val="28"/>
      </w:rPr>
    </w:lvl>
    <w:lvl w:ilvl="2" w:tentative="0">
      <w:start w:val="1"/>
      <w:numFmt w:val="decimal"/>
      <w:suff w:val="space"/>
      <w:lvlText w:val="%1.%2.%3"/>
      <w:lvlJc w:val="left"/>
      <w:pPr>
        <w:tabs>
          <w:tab w:val="left" w:pos="0"/>
        </w:tabs>
        <w:ind w:left="0" w:firstLine="400"/>
      </w:pPr>
      <w:rPr>
        <w:rFonts w:hint="default" w:ascii="宋体" w:hAnsi="宋体" w:eastAsia="宋体" w:cstheme="minorEastAsia"/>
        <w:sz w:val="24"/>
        <w:szCs w:val="28"/>
      </w:rPr>
    </w:lvl>
    <w:lvl w:ilvl="3" w:tentative="0">
      <w:start w:val="1"/>
      <w:numFmt w:val="decimal"/>
      <w:pStyle w:val="6"/>
      <w:suff w:val="space"/>
      <w:lvlText w:val="%4"/>
      <w:lvlJc w:val="left"/>
      <w:pPr>
        <w:tabs>
          <w:tab w:val="left" w:pos="0"/>
        </w:tabs>
        <w:ind w:left="0" w:firstLine="402"/>
      </w:pPr>
      <w:rPr>
        <w:rFonts w:hint="default" w:ascii="仿宋_GB2312" w:hAnsi="仿宋_GB2312" w:eastAsia="仿宋_GB2312" w:cs="Times New Roman"/>
        <w:color w:val="000000" w:themeColor="text1"/>
        <w:sz w:val="24"/>
        <w14:textFill>
          <w14:solidFill>
            <w14:schemeClr w14:val="tx1"/>
          </w14:solidFill>
        </w14:textFill>
      </w:rPr>
    </w:lvl>
    <w:lvl w:ilvl="4" w:tentative="0">
      <w:start w:val="1"/>
      <w:numFmt w:val="decimal"/>
      <w:suff w:val="space"/>
      <w:lvlText w:val="%5）"/>
      <w:lvlJc w:val="left"/>
      <w:pPr>
        <w:tabs>
          <w:tab w:val="left" w:pos="420"/>
        </w:tabs>
        <w:ind w:left="0" w:firstLine="402"/>
      </w:pPr>
      <w:rPr>
        <w:rFonts w:hint="default" w:ascii="黑体" w:hAnsi="黑体" w:eastAsia="黑体"/>
        <w:sz w:val="24"/>
      </w:rPr>
    </w:lvl>
    <w:lvl w:ilvl="5" w:tentative="0">
      <w:start w:val="1"/>
      <w:numFmt w:val="decimalEnclosedCircleChinese"/>
      <w:suff w:val="nothing"/>
      <w:lvlText w:val="%6"/>
      <w:lvlJc w:val="left"/>
      <w:pPr>
        <w:tabs>
          <w:tab w:val="left" w:pos="0"/>
        </w:tabs>
        <w:ind w:left="0" w:firstLine="402"/>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4">
    <w:nsid w:val="D843E330"/>
    <w:multiLevelType w:val="singleLevel"/>
    <w:tmpl w:val="D843E330"/>
    <w:lvl w:ilvl="0" w:tentative="0">
      <w:start w:val="1"/>
      <w:numFmt w:val="decimal"/>
      <w:lvlText w:val="(%1)"/>
      <w:lvlJc w:val="left"/>
      <w:pPr>
        <w:ind w:left="425" w:hanging="425"/>
      </w:pPr>
      <w:rPr>
        <w:rFonts w:hint="default"/>
      </w:rPr>
    </w:lvl>
  </w:abstractNum>
  <w:abstractNum w:abstractNumId="5">
    <w:nsid w:val="D9B7EC04"/>
    <w:multiLevelType w:val="multilevel"/>
    <w:tmpl w:val="D9B7EC04"/>
    <w:lvl w:ilvl="0" w:tentative="0">
      <w:start w:val="1"/>
      <w:numFmt w:val="chineseCounting"/>
      <w:suff w:val="nothing"/>
      <w:lvlText w:val="（%1）"/>
      <w:lvlJc w:val="left"/>
      <w:pPr>
        <w:ind w:left="0" w:firstLine="397"/>
      </w:pPr>
      <w:rPr>
        <w:rFonts w:hint="eastAsia"/>
      </w:rPr>
    </w:lvl>
    <w:lvl w:ilvl="1" w:tentative="0">
      <w:start w:val="1"/>
      <w:numFmt w:val="decimal"/>
      <w:suff w:val="nothing"/>
      <w:lvlText w:val="%2．"/>
      <w:lvlJc w:val="left"/>
      <w:pPr>
        <w:ind w:left="0" w:firstLine="397"/>
      </w:pPr>
      <w:rPr>
        <w:rFonts w:hint="eastAsia"/>
      </w:rPr>
    </w:lvl>
    <w:lvl w:ilvl="2" w:tentative="0">
      <w:start w:val="1"/>
      <w:numFmt w:val="upperRoman"/>
      <w:pStyle w:val="29"/>
      <w:suff w:val="nothing"/>
      <w:lvlText w:val="（%3）"/>
      <w:lvlJc w:val="left"/>
      <w:pPr>
        <w:tabs>
          <w:tab w:val="left" w:pos="0"/>
        </w:tabs>
        <w:ind w:left="0" w:firstLine="397"/>
      </w:pPr>
      <w:rPr>
        <w:rFonts w:hint="eastAsia"/>
      </w:rPr>
    </w:lvl>
    <w:lvl w:ilvl="3" w:tentative="0">
      <w:start w:val="1"/>
      <w:numFmt w:val="decimalEnclosedCircleChinese"/>
      <w:suff w:val="nothing"/>
      <w:lvlText w:val="%4"/>
      <w:lvlJc w:val="left"/>
      <w:pPr>
        <w:ind w:left="0" w:firstLine="397"/>
      </w:pPr>
      <w:rPr>
        <w:rFonts w:hint="eastAsia"/>
      </w:rPr>
    </w:lvl>
    <w:lvl w:ilvl="4" w:tentative="0">
      <w:start w:val="1"/>
      <w:numFmt w:val="decimal"/>
      <w:suff w:val="nothing"/>
      <w:lvlText w:val="%5）"/>
      <w:lvlJc w:val="left"/>
      <w:pPr>
        <w:ind w:left="0" w:firstLine="397"/>
      </w:pPr>
      <w:rPr>
        <w:rFonts w:hint="eastAsia"/>
      </w:rPr>
    </w:lvl>
    <w:lvl w:ilvl="5" w:tentative="0">
      <w:start w:val="1"/>
      <w:numFmt w:val="lowerLetter"/>
      <w:suff w:val="nothing"/>
      <w:lvlText w:val="%6．"/>
      <w:lvlJc w:val="left"/>
      <w:pPr>
        <w:ind w:left="0" w:firstLine="397"/>
      </w:pPr>
      <w:rPr>
        <w:rFonts w:hint="eastAsia"/>
      </w:rPr>
    </w:lvl>
    <w:lvl w:ilvl="6" w:tentative="0">
      <w:start w:val="1"/>
      <w:numFmt w:val="lowerLetter"/>
      <w:suff w:val="nothing"/>
      <w:lvlText w:val="%7）"/>
      <w:lvlJc w:val="left"/>
      <w:pPr>
        <w:ind w:left="0" w:firstLine="397"/>
      </w:pPr>
      <w:rPr>
        <w:rFonts w:hint="eastAsia"/>
      </w:rPr>
    </w:lvl>
    <w:lvl w:ilvl="7" w:tentative="0">
      <w:start w:val="1"/>
      <w:numFmt w:val="lowerRoman"/>
      <w:suff w:val="nothing"/>
      <w:lvlText w:val="%8．"/>
      <w:lvlJc w:val="left"/>
      <w:pPr>
        <w:ind w:left="0" w:firstLine="397"/>
      </w:pPr>
      <w:rPr>
        <w:rFonts w:hint="eastAsia"/>
      </w:rPr>
    </w:lvl>
    <w:lvl w:ilvl="8" w:tentative="0">
      <w:start w:val="1"/>
      <w:numFmt w:val="lowerRoman"/>
      <w:suff w:val="nothing"/>
      <w:lvlText w:val="%9）"/>
      <w:lvlJc w:val="left"/>
      <w:pPr>
        <w:ind w:left="0" w:firstLine="397"/>
      </w:pPr>
      <w:rPr>
        <w:rFonts w:hint="eastAsia"/>
      </w:rPr>
    </w:lvl>
  </w:abstractNum>
  <w:abstractNum w:abstractNumId="6">
    <w:nsid w:val="24B8A47E"/>
    <w:multiLevelType w:val="multilevel"/>
    <w:tmpl w:val="24B8A47E"/>
    <w:lvl w:ilvl="0" w:tentative="0">
      <w:start w:val="1"/>
      <w:numFmt w:val="decimal"/>
      <w:pStyle w:val="2"/>
      <w:suff w:val="space"/>
      <w:lvlText w:val="%1"/>
      <w:lvlJc w:val="left"/>
      <w:pPr>
        <w:tabs>
          <w:tab w:val="left" w:pos="0"/>
        </w:tabs>
        <w:ind w:left="0" w:firstLine="0"/>
      </w:pPr>
      <w:rPr>
        <w:rFonts w:hint="default" w:ascii="Times New Roman" w:hAnsi="Times New Roman" w:eastAsia="黑体"/>
        <w:sz w:val="32"/>
        <w:szCs w:val="32"/>
      </w:rPr>
    </w:lvl>
    <w:lvl w:ilvl="1" w:tentative="0">
      <w:start w:val="1"/>
      <w:numFmt w:val="decimal"/>
      <w:pStyle w:val="3"/>
      <w:suff w:val="space"/>
      <w:lvlText w:val="%1.%2"/>
      <w:lvlJc w:val="left"/>
      <w:pPr>
        <w:tabs>
          <w:tab w:val="left" w:pos="0"/>
        </w:tabs>
        <w:ind w:left="0" w:firstLine="0"/>
      </w:pPr>
      <w:rPr>
        <w:rFonts w:hint="default" w:ascii="黑体" w:hAnsi="黑体" w:eastAsia="黑体"/>
        <w:sz w:val="28"/>
        <w:szCs w:val="28"/>
      </w:rPr>
    </w:lvl>
    <w:lvl w:ilvl="2" w:tentative="0">
      <w:start w:val="1"/>
      <w:numFmt w:val="decimal"/>
      <w:pStyle w:val="5"/>
      <w:suff w:val="space"/>
      <w:lvlText w:val="%1.%2.%3"/>
      <w:lvlJc w:val="left"/>
      <w:pPr>
        <w:tabs>
          <w:tab w:val="left" w:pos="0"/>
        </w:tabs>
        <w:ind w:left="0" w:firstLine="0"/>
      </w:pPr>
      <w:rPr>
        <w:rFonts w:hint="default" w:ascii="宋体" w:hAnsi="宋体" w:eastAsia="宋体" w:cstheme="minorEastAsia"/>
        <w:sz w:val="24"/>
        <w:szCs w:val="28"/>
      </w:rPr>
    </w:lvl>
    <w:lvl w:ilvl="3" w:tentative="0">
      <w:start w:val="1"/>
      <w:numFmt w:val="decimal"/>
      <w:pStyle w:val="36"/>
      <w:suff w:val="space"/>
      <w:lvlText w:val="%4"/>
      <w:lvlJc w:val="left"/>
      <w:pPr>
        <w:tabs>
          <w:tab w:val="left" w:pos="0"/>
        </w:tabs>
        <w:ind w:left="0" w:firstLine="402"/>
      </w:pPr>
      <w:rPr>
        <w:rFonts w:hint="default" w:ascii="Times New Roman" w:hAnsi="Times New Roman" w:eastAsia="宋体" w:cs="Times New Roman"/>
        <w:color w:val="000000" w:themeColor="text1"/>
        <w:sz w:val="24"/>
        <w14:textFill>
          <w14:solidFill>
            <w14:schemeClr w14:val="tx1"/>
          </w14:solidFill>
        </w14:textFill>
      </w:rPr>
    </w:lvl>
    <w:lvl w:ilvl="4" w:tentative="0">
      <w:start w:val="1"/>
      <w:numFmt w:val="decimal"/>
      <w:pStyle w:val="37"/>
      <w:suff w:val="nothing"/>
      <w:lvlText w:val="%5）"/>
      <w:lvlJc w:val="left"/>
      <w:pPr>
        <w:tabs>
          <w:tab w:val="left" w:pos="420"/>
        </w:tabs>
        <w:ind w:left="0" w:firstLine="402"/>
      </w:pPr>
      <w:rPr>
        <w:rFonts w:hint="default" w:ascii="黑体" w:hAnsi="黑体" w:eastAsia="黑体"/>
        <w:sz w:val="24"/>
      </w:rPr>
    </w:lvl>
    <w:lvl w:ilvl="5" w:tentative="0">
      <w:start w:val="1"/>
      <w:numFmt w:val="decimalEnclosedCircleChinese"/>
      <w:pStyle w:val="8"/>
      <w:suff w:val="nothing"/>
      <w:lvlText w:val="%6"/>
      <w:lvlJc w:val="left"/>
      <w:pPr>
        <w:tabs>
          <w:tab w:val="left" w:pos="0"/>
        </w:tabs>
        <w:ind w:left="0" w:firstLine="402"/>
      </w:pPr>
      <w:rPr>
        <w:rFonts w:hint="eastAsia" w:ascii="宋体" w:hAnsi="宋体" w:eastAsia="宋体" w:cs="宋体"/>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7">
    <w:nsid w:val="502A320D"/>
    <w:multiLevelType w:val="singleLevel"/>
    <w:tmpl w:val="502A320D"/>
    <w:lvl w:ilvl="0" w:tentative="0">
      <w:start w:val="1"/>
      <w:numFmt w:val="decimal"/>
      <w:suff w:val="nothing"/>
      <w:lvlText w:val="%1、"/>
      <w:lvlJc w:val="left"/>
    </w:lvl>
  </w:abstractNum>
  <w:abstractNum w:abstractNumId="8">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41"/>
      <w:suff w:val="nothing"/>
      <w:lvlText w:val="%1%2　"/>
      <w:lvlJc w:val="left"/>
      <w:pPr>
        <w:ind w:left="0" w:firstLine="0"/>
      </w:pPr>
      <w:rPr>
        <w:rFonts w:hint="eastAsia" w:ascii="黑体" w:eastAsia="黑体"/>
        <w:b w:val="0"/>
        <w:i w:val="0"/>
        <w:sz w:val="21"/>
      </w:rPr>
    </w:lvl>
    <w:lvl w:ilvl="2" w:tentative="0">
      <w:start w:val="1"/>
      <w:numFmt w:val="decimal"/>
      <w:pStyle w:val="40"/>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6"/>
  </w:num>
  <w:num w:numId="2">
    <w:abstractNumId w:val="3"/>
  </w:num>
  <w:num w:numId="3">
    <w:abstractNumId w:val="0"/>
  </w:num>
  <w:num w:numId="4">
    <w:abstractNumId w:val="5"/>
  </w:num>
  <w:num w:numId="5">
    <w:abstractNumId w:val="1"/>
  </w:num>
  <w:num w:numId="6">
    <w:abstractNumId w:val="8"/>
  </w:num>
  <w:num w:numId="7">
    <w:abstractNumId w:val="2"/>
  </w:num>
  <w:num w:numId="8">
    <w:abstractNumId w:val="7"/>
  </w:num>
  <w:num w:numId="9">
    <w:abstractNumId w:val="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3YmU2OGQ5YjQxOTQ2NGE2MWFjOWFjNjRmZTliMDcifQ=="/>
  </w:docVars>
  <w:rsids>
    <w:rsidRoot w:val="10864EA8"/>
    <w:rsid w:val="000050B2"/>
    <w:rsid w:val="000749E3"/>
    <w:rsid w:val="00133BFE"/>
    <w:rsid w:val="00182E8B"/>
    <w:rsid w:val="00225378"/>
    <w:rsid w:val="00247343"/>
    <w:rsid w:val="00274BDD"/>
    <w:rsid w:val="00354912"/>
    <w:rsid w:val="00441793"/>
    <w:rsid w:val="00481283"/>
    <w:rsid w:val="0050638A"/>
    <w:rsid w:val="00537C28"/>
    <w:rsid w:val="005E0AA6"/>
    <w:rsid w:val="00646551"/>
    <w:rsid w:val="0067722F"/>
    <w:rsid w:val="00681BE2"/>
    <w:rsid w:val="00726300"/>
    <w:rsid w:val="007A6F63"/>
    <w:rsid w:val="0089189B"/>
    <w:rsid w:val="008B21E5"/>
    <w:rsid w:val="008B5614"/>
    <w:rsid w:val="008D4EE8"/>
    <w:rsid w:val="0094251D"/>
    <w:rsid w:val="0094794C"/>
    <w:rsid w:val="00A30B82"/>
    <w:rsid w:val="00A81D22"/>
    <w:rsid w:val="00B32474"/>
    <w:rsid w:val="00C84172"/>
    <w:rsid w:val="00D06DD6"/>
    <w:rsid w:val="00DA3A1E"/>
    <w:rsid w:val="00DC7C1D"/>
    <w:rsid w:val="00DE21A3"/>
    <w:rsid w:val="00F05477"/>
    <w:rsid w:val="00F06FF0"/>
    <w:rsid w:val="00F9257D"/>
    <w:rsid w:val="010409B0"/>
    <w:rsid w:val="01120348"/>
    <w:rsid w:val="011D2710"/>
    <w:rsid w:val="012A0989"/>
    <w:rsid w:val="012F2B13"/>
    <w:rsid w:val="01304A6D"/>
    <w:rsid w:val="01347A59"/>
    <w:rsid w:val="0136732D"/>
    <w:rsid w:val="014063FE"/>
    <w:rsid w:val="01441696"/>
    <w:rsid w:val="014852B3"/>
    <w:rsid w:val="014A102B"/>
    <w:rsid w:val="014D2402"/>
    <w:rsid w:val="01521C8D"/>
    <w:rsid w:val="0153644A"/>
    <w:rsid w:val="015B4A61"/>
    <w:rsid w:val="0168074B"/>
    <w:rsid w:val="016E2F6B"/>
    <w:rsid w:val="01700502"/>
    <w:rsid w:val="01703E9A"/>
    <w:rsid w:val="017C4E3A"/>
    <w:rsid w:val="017D4F5C"/>
    <w:rsid w:val="017E6F26"/>
    <w:rsid w:val="0180792C"/>
    <w:rsid w:val="018276FB"/>
    <w:rsid w:val="018A1427"/>
    <w:rsid w:val="018B3650"/>
    <w:rsid w:val="019B3634"/>
    <w:rsid w:val="019D73AC"/>
    <w:rsid w:val="019E3125"/>
    <w:rsid w:val="01A63CD7"/>
    <w:rsid w:val="01C81F50"/>
    <w:rsid w:val="01CA5CC8"/>
    <w:rsid w:val="01D134FA"/>
    <w:rsid w:val="01D857E9"/>
    <w:rsid w:val="01E90844"/>
    <w:rsid w:val="01F40F97"/>
    <w:rsid w:val="01F42D45"/>
    <w:rsid w:val="01F66ABD"/>
    <w:rsid w:val="01FA65AD"/>
    <w:rsid w:val="01FC15AF"/>
    <w:rsid w:val="01FD42EF"/>
    <w:rsid w:val="0204567E"/>
    <w:rsid w:val="020E4D8C"/>
    <w:rsid w:val="021533E7"/>
    <w:rsid w:val="0216715F"/>
    <w:rsid w:val="021E1E08"/>
    <w:rsid w:val="02216E5A"/>
    <w:rsid w:val="02274EC8"/>
    <w:rsid w:val="022B0E5C"/>
    <w:rsid w:val="022C0730"/>
    <w:rsid w:val="02315D47"/>
    <w:rsid w:val="023A5D4F"/>
    <w:rsid w:val="023C2B13"/>
    <w:rsid w:val="024A6D3D"/>
    <w:rsid w:val="025D4D8E"/>
    <w:rsid w:val="025F28B4"/>
    <w:rsid w:val="026B4887"/>
    <w:rsid w:val="026E699E"/>
    <w:rsid w:val="0270686F"/>
    <w:rsid w:val="02714395"/>
    <w:rsid w:val="0273635F"/>
    <w:rsid w:val="0274549D"/>
    <w:rsid w:val="02750FFE"/>
    <w:rsid w:val="02796C38"/>
    <w:rsid w:val="027A76EE"/>
    <w:rsid w:val="02816CCE"/>
    <w:rsid w:val="0288005D"/>
    <w:rsid w:val="028B18FB"/>
    <w:rsid w:val="02913ED0"/>
    <w:rsid w:val="0297204E"/>
    <w:rsid w:val="029A7D90"/>
    <w:rsid w:val="02A12ECC"/>
    <w:rsid w:val="02A91D81"/>
    <w:rsid w:val="02AD51D0"/>
    <w:rsid w:val="02B56978"/>
    <w:rsid w:val="02B80216"/>
    <w:rsid w:val="02C62933"/>
    <w:rsid w:val="02C941D1"/>
    <w:rsid w:val="02D108F4"/>
    <w:rsid w:val="02D61B95"/>
    <w:rsid w:val="02D97086"/>
    <w:rsid w:val="02DC5CB3"/>
    <w:rsid w:val="02E55629"/>
    <w:rsid w:val="02EB406C"/>
    <w:rsid w:val="02ED4364"/>
    <w:rsid w:val="02F32FFC"/>
    <w:rsid w:val="02F36145"/>
    <w:rsid w:val="02F827B5"/>
    <w:rsid w:val="030671D3"/>
    <w:rsid w:val="030A6CC4"/>
    <w:rsid w:val="030D2310"/>
    <w:rsid w:val="03125B78"/>
    <w:rsid w:val="031B2C7F"/>
    <w:rsid w:val="031E276F"/>
    <w:rsid w:val="032B09E8"/>
    <w:rsid w:val="03367AB9"/>
    <w:rsid w:val="03373831"/>
    <w:rsid w:val="033B3D1B"/>
    <w:rsid w:val="033E696D"/>
    <w:rsid w:val="03404493"/>
    <w:rsid w:val="03483348"/>
    <w:rsid w:val="034D4E02"/>
    <w:rsid w:val="036F4D79"/>
    <w:rsid w:val="038325D2"/>
    <w:rsid w:val="03840694"/>
    <w:rsid w:val="038A201F"/>
    <w:rsid w:val="038A570F"/>
    <w:rsid w:val="038F71C9"/>
    <w:rsid w:val="039447DF"/>
    <w:rsid w:val="039E565E"/>
    <w:rsid w:val="039F78D2"/>
    <w:rsid w:val="03A502A7"/>
    <w:rsid w:val="03A762C0"/>
    <w:rsid w:val="03B03D9B"/>
    <w:rsid w:val="03B10EED"/>
    <w:rsid w:val="03B56428"/>
    <w:rsid w:val="03B629A7"/>
    <w:rsid w:val="03B920E2"/>
    <w:rsid w:val="03B967BA"/>
    <w:rsid w:val="03C10429"/>
    <w:rsid w:val="03CC058D"/>
    <w:rsid w:val="03CD1A9F"/>
    <w:rsid w:val="03CE56DA"/>
    <w:rsid w:val="03D35307"/>
    <w:rsid w:val="03D472D2"/>
    <w:rsid w:val="03DA3FA1"/>
    <w:rsid w:val="03DD6186"/>
    <w:rsid w:val="03EA679B"/>
    <w:rsid w:val="03EE1218"/>
    <w:rsid w:val="03F36308"/>
    <w:rsid w:val="03F434D0"/>
    <w:rsid w:val="03F61F20"/>
    <w:rsid w:val="03F67248"/>
    <w:rsid w:val="03F744C3"/>
    <w:rsid w:val="03FB766B"/>
    <w:rsid w:val="03FD2384"/>
    <w:rsid w:val="03FF60FC"/>
    <w:rsid w:val="040D7A92"/>
    <w:rsid w:val="040F20B8"/>
    <w:rsid w:val="04124462"/>
    <w:rsid w:val="04127E4F"/>
    <w:rsid w:val="04137DFA"/>
    <w:rsid w:val="04206073"/>
    <w:rsid w:val="04261C26"/>
    <w:rsid w:val="042C4A18"/>
    <w:rsid w:val="042F4508"/>
    <w:rsid w:val="043164D2"/>
    <w:rsid w:val="044A30F0"/>
    <w:rsid w:val="044B1342"/>
    <w:rsid w:val="044C0C16"/>
    <w:rsid w:val="04544994"/>
    <w:rsid w:val="045A3333"/>
    <w:rsid w:val="045A77D7"/>
    <w:rsid w:val="0466417F"/>
    <w:rsid w:val="04671F7C"/>
    <w:rsid w:val="046C750A"/>
    <w:rsid w:val="046D04A3"/>
    <w:rsid w:val="04820ADC"/>
    <w:rsid w:val="04877EA0"/>
    <w:rsid w:val="048B5207"/>
    <w:rsid w:val="048D643D"/>
    <w:rsid w:val="048F0AB8"/>
    <w:rsid w:val="0490144A"/>
    <w:rsid w:val="04A70542"/>
    <w:rsid w:val="04AA7061"/>
    <w:rsid w:val="04B07CB0"/>
    <w:rsid w:val="04B36EE7"/>
    <w:rsid w:val="04B478EB"/>
    <w:rsid w:val="04C73977"/>
    <w:rsid w:val="04CE1F73"/>
    <w:rsid w:val="04DC0AA0"/>
    <w:rsid w:val="04DD21C6"/>
    <w:rsid w:val="04DD675D"/>
    <w:rsid w:val="04E90B5B"/>
    <w:rsid w:val="04F512AE"/>
    <w:rsid w:val="04FC6AE0"/>
    <w:rsid w:val="04FE26C7"/>
    <w:rsid w:val="0501370E"/>
    <w:rsid w:val="050140F6"/>
    <w:rsid w:val="05033049"/>
    <w:rsid w:val="050414F1"/>
    <w:rsid w:val="05171224"/>
    <w:rsid w:val="0520485B"/>
    <w:rsid w:val="05271536"/>
    <w:rsid w:val="052D4EEB"/>
    <w:rsid w:val="053718C6"/>
    <w:rsid w:val="053B3CA0"/>
    <w:rsid w:val="053C6EDC"/>
    <w:rsid w:val="05431AC5"/>
    <w:rsid w:val="05432019"/>
    <w:rsid w:val="054839F6"/>
    <w:rsid w:val="054878AC"/>
    <w:rsid w:val="054A409D"/>
    <w:rsid w:val="05505DB7"/>
    <w:rsid w:val="055165CD"/>
    <w:rsid w:val="05573D16"/>
    <w:rsid w:val="05614B95"/>
    <w:rsid w:val="0563699B"/>
    <w:rsid w:val="056C5A14"/>
    <w:rsid w:val="056E3A92"/>
    <w:rsid w:val="057817B9"/>
    <w:rsid w:val="057E7745"/>
    <w:rsid w:val="058358E9"/>
    <w:rsid w:val="0586171E"/>
    <w:rsid w:val="0588226B"/>
    <w:rsid w:val="058B39C0"/>
    <w:rsid w:val="058D598A"/>
    <w:rsid w:val="05915D26"/>
    <w:rsid w:val="05955D32"/>
    <w:rsid w:val="05960784"/>
    <w:rsid w:val="05972365"/>
    <w:rsid w:val="059C6184"/>
    <w:rsid w:val="05A708B6"/>
    <w:rsid w:val="05AA6227"/>
    <w:rsid w:val="05AB7BBE"/>
    <w:rsid w:val="05BE5B43"/>
    <w:rsid w:val="05C0008F"/>
    <w:rsid w:val="05C02D78"/>
    <w:rsid w:val="05C1766B"/>
    <w:rsid w:val="05D830A9"/>
    <w:rsid w:val="05DE7F94"/>
    <w:rsid w:val="05E356DF"/>
    <w:rsid w:val="05EA4B8A"/>
    <w:rsid w:val="05FE0636"/>
    <w:rsid w:val="0608755C"/>
    <w:rsid w:val="0616717C"/>
    <w:rsid w:val="06190FCC"/>
    <w:rsid w:val="0624009C"/>
    <w:rsid w:val="0624779C"/>
    <w:rsid w:val="062655AD"/>
    <w:rsid w:val="06274119"/>
    <w:rsid w:val="062D4112"/>
    <w:rsid w:val="062F259D"/>
    <w:rsid w:val="063127B9"/>
    <w:rsid w:val="065F7326"/>
    <w:rsid w:val="066606B5"/>
    <w:rsid w:val="066E55CF"/>
    <w:rsid w:val="06783F44"/>
    <w:rsid w:val="067A7CBC"/>
    <w:rsid w:val="067B57E2"/>
    <w:rsid w:val="067D3496"/>
    <w:rsid w:val="06855554"/>
    <w:rsid w:val="06976AC0"/>
    <w:rsid w:val="06982838"/>
    <w:rsid w:val="069D1BFD"/>
    <w:rsid w:val="06A72A7B"/>
    <w:rsid w:val="06AA187C"/>
    <w:rsid w:val="06B331CE"/>
    <w:rsid w:val="06B34F7C"/>
    <w:rsid w:val="06B43B46"/>
    <w:rsid w:val="06B502A7"/>
    <w:rsid w:val="06B50CF4"/>
    <w:rsid w:val="06C947A0"/>
    <w:rsid w:val="06D030DE"/>
    <w:rsid w:val="06D05B2E"/>
    <w:rsid w:val="06D416EA"/>
    <w:rsid w:val="06D721B0"/>
    <w:rsid w:val="06DF3FC3"/>
    <w:rsid w:val="06ED43D6"/>
    <w:rsid w:val="06F35CC1"/>
    <w:rsid w:val="06F46A5E"/>
    <w:rsid w:val="06FA5625"/>
    <w:rsid w:val="06FC2DC7"/>
    <w:rsid w:val="0700284C"/>
    <w:rsid w:val="0708351A"/>
    <w:rsid w:val="07083BAF"/>
    <w:rsid w:val="0709241E"/>
    <w:rsid w:val="070D0B30"/>
    <w:rsid w:val="07100621"/>
    <w:rsid w:val="071874D5"/>
    <w:rsid w:val="071D5150"/>
    <w:rsid w:val="071F6AB6"/>
    <w:rsid w:val="07293490"/>
    <w:rsid w:val="072B545A"/>
    <w:rsid w:val="07302A71"/>
    <w:rsid w:val="074B78AB"/>
    <w:rsid w:val="07563646"/>
    <w:rsid w:val="0757624F"/>
    <w:rsid w:val="07585B24"/>
    <w:rsid w:val="07634D60"/>
    <w:rsid w:val="077010BF"/>
    <w:rsid w:val="07807554"/>
    <w:rsid w:val="0781507A"/>
    <w:rsid w:val="078A0DF5"/>
    <w:rsid w:val="078A3C9E"/>
    <w:rsid w:val="079528D4"/>
    <w:rsid w:val="07970AB9"/>
    <w:rsid w:val="0797489E"/>
    <w:rsid w:val="079B25E0"/>
    <w:rsid w:val="07A10088"/>
    <w:rsid w:val="07A64AE1"/>
    <w:rsid w:val="07AB14E7"/>
    <w:rsid w:val="07B516F9"/>
    <w:rsid w:val="07BB058C"/>
    <w:rsid w:val="07BF7A34"/>
    <w:rsid w:val="07C136C9"/>
    <w:rsid w:val="07CB0157"/>
    <w:rsid w:val="07D16002"/>
    <w:rsid w:val="07D42AA3"/>
    <w:rsid w:val="07DA364E"/>
    <w:rsid w:val="07DC1AF5"/>
    <w:rsid w:val="07EC4BEA"/>
    <w:rsid w:val="07FB7581"/>
    <w:rsid w:val="07FD6DF7"/>
    <w:rsid w:val="0808622A"/>
    <w:rsid w:val="080E239D"/>
    <w:rsid w:val="08103916"/>
    <w:rsid w:val="081E6051"/>
    <w:rsid w:val="08204893"/>
    <w:rsid w:val="0822221C"/>
    <w:rsid w:val="082223BA"/>
    <w:rsid w:val="082442C2"/>
    <w:rsid w:val="08302865"/>
    <w:rsid w:val="0849203C"/>
    <w:rsid w:val="08494B4C"/>
    <w:rsid w:val="084C38DA"/>
    <w:rsid w:val="085920D9"/>
    <w:rsid w:val="086A3D60"/>
    <w:rsid w:val="086A5B0F"/>
    <w:rsid w:val="086F1377"/>
    <w:rsid w:val="08732C15"/>
    <w:rsid w:val="08803584"/>
    <w:rsid w:val="088072A7"/>
    <w:rsid w:val="08856DEC"/>
    <w:rsid w:val="088A4403"/>
    <w:rsid w:val="088C017B"/>
    <w:rsid w:val="0895702F"/>
    <w:rsid w:val="089D4136"/>
    <w:rsid w:val="08A640D8"/>
    <w:rsid w:val="08A81C9B"/>
    <w:rsid w:val="08A8389B"/>
    <w:rsid w:val="08A90D2D"/>
    <w:rsid w:val="08B33959"/>
    <w:rsid w:val="08BB1CB7"/>
    <w:rsid w:val="08BB280E"/>
    <w:rsid w:val="08BE235F"/>
    <w:rsid w:val="08C47915"/>
    <w:rsid w:val="08C848A1"/>
    <w:rsid w:val="08C96CD9"/>
    <w:rsid w:val="08CC4A1B"/>
    <w:rsid w:val="08D13DE0"/>
    <w:rsid w:val="08D47156"/>
    <w:rsid w:val="08DF2DD9"/>
    <w:rsid w:val="08E32BEA"/>
    <w:rsid w:val="08E50D18"/>
    <w:rsid w:val="08F54642"/>
    <w:rsid w:val="08F97AD0"/>
    <w:rsid w:val="08FA6E92"/>
    <w:rsid w:val="08FB0871"/>
    <w:rsid w:val="08FF26FB"/>
    <w:rsid w:val="090B4D3A"/>
    <w:rsid w:val="090D12BC"/>
    <w:rsid w:val="091A6930"/>
    <w:rsid w:val="09267C87"/>
    <w:rsid w:val="0928131E"/>
    <w:rsid w:val="09290516"/>
    <w:rsid w:val="09304FAA"/>
    <w:rsid w:val="0932487E"/>
    <w:rsid w:val="094D790A"/>
    <w:rsid w:val="09584573"/>
    <w:rsid w:val="095A2027"/>
    <w:rsid w:val="095C7B4D"/>
    <w:rsid w:val="095F13EB"/>
    <w:rsid w:val="096802A0"/>
    <w:rsid w:val="096815F2"/>
    <w:rsid w:val="096A04BC"/>
    <w:rsid w:val="096A10D1"/>
    <w:rsid w:val="096C3967"/>
    <w:rsid w:val="096D58B6"/>
    <w:rsid w:val="097075E8"/>
    <w:rsid w:val="0972111F"/>
    <w:rsid w:val="09756E61"/>
    <w:rsid w:val="097C1F9D"/>
    <w:rsid w:val="097F35A8"/>
    <w:rsid w:val="09880BAD"/>
    <w:rsid w:val="098B3F8E"/>
    <w:rsid w:val="09905A49"/>
    <w:rsid w:val="09943809"/>
    <w:rsid w:val="099472E7"/>
    <w:rsid w:val="099A0675"/>
    <w:rsid w:val="099B52D2"/>
    <w:rsid w:val="099E63A5"/>
    <w:rsid w:val="099F4DFD"/>
    <w:rsid w:val="09A3532D"/>
    <w:rsid w:val="09BD540D"/>
    <w:rsid w:val="09C3197A"/>
    <w:rsid w:val="09C474A0"/>
    <w:rsid w:val="09C83435"/>
    <w:rsid w:val="09D04097"/>
    <w:rsid w:val="09D1170E"/>
    <w:rsid w:val="09D12E4F"/>
    <w:rsid w:val="09DE4A06"/>
    <w:rsid w:val="09E244F6"/>
    <w:rsid w:val="09E813E1"/>
    <w:rsid w:val="09F41BA7"/>
    <w:rsid w:val="09F60F31"/>
    <w:rsid w:val="09F614AB"/>
    <w:rsid w:val="09FB0367"/>
    <w:rsid w:val="09FB1114"/>
    <w:rsid w:val="0A040119"/>
    <w:rsid w:val="0A0855DF"/>
    <w:rsid w:val="0A0A1357"/>
    <w:rsid w:val="0A0A2FE0"/>
    <w:rsid w:val="0A1246B0"/>
    <w:rsid w:val="0A1569B2"/>
    <w:rsid w:val="0A1B5312"/>
    <w:rsid w:val="0A267937"/>
    <w:rsid w:val="0A27015B"/>
    <w:rsid w:val="0A2A37A7"/>
    <w:rsid w:val="0A2B0DE7"/>
    <w:rsid w:val="0A2D3298"/>
    <w:rsid w:val="0A320DD3"/>
    <w:rsid w:val="0A3C34DB"/>
    <w:rsid w:val="0A4243D7"/>
    <w:rsid w:val="0A4271BB"/>
    <w:rsid w:val="0A472BA5"/>
    <w:rsid w:val="0A475E44"/>
    <w:rsid w:val="0A5151D8"/>
    <w:rsid w:val="0A5440F6"/>
    <w:rsid w:val="0A6107F8"/>
    <w:rsid w:val="0A69195B"/>
    <w:rsid w:val="0A7333A0"/>
    <w:rsid w:val="0A740EC6"/>
    <w:rsid w:val="0A79472F"/>
    <w:rsid w:val="0A856C30"/>
    <w:rsid w:val="0A8B3B2C"/>
    <w:rsid w:val="0A8F5D00"/>
    <w:rsid w:val="0A9D041D"/>
    <w:rsid w:val="0A9E520C"/>
    <w:rsid w:val="0AA417AC"/>
    <w:rsid w:val="0AA51080"/>
    <w:rsid w:val="0AA6225D"/>
    <w:rsid w:val="0ABD0ABF"/>
    <w:rsid w:val="0ABE603E"/>
    <w:rsid w:val="0ABF2726"/>
    <w:rsid w:val="0AC27AB4"/>
    <w:rsid w:val="0AC8421B"/>
    <w:rsid w:val="0AD11E75"/>
    <w:rsid w:val="0AE24082"/>
    <w:rsid w:val="0AE41BA8"/>
    <w:rsid w:val="0AE844D7"/>
    <w:rsid w:val="0AF67B2D"/>
    <w:rsid w:val="0AFB5144"/>
    <w:rsid w:val="0B025788"/>
    <w:rsid w:val="0B043FF8"/>
    <w:rsid w:val="0B077F8D"/>
    <w:rsid w:val="0B0C10FF"/>
    <w:rsid w:val="0B0C7351"/>
    <w:rsid w:val="0B1A63F5"/>
    <w:rsid w:val="0B1F0FC2"/>
    <w:rsid w:val="0B260413"/>
    <w:rsid w:val="0B2621C1"/>
    <w:rsid w:val="0B2B66F0"/>
    <w:rsid w:val="0B3642AB"/>
    <w:rsid w:val="0B36617C"/>
    <w:rsid w:val="0B387C38"/>
    <w:rsid w:val="0B3D39AE"/>
    <w:rsid w:val="0B415214"/>
    <w:rsid w:val="0B4C67AA"/>
    <w:rsid w:val="0B522072"/>
    <w:rsid w:val="0B5818D3"/>
    <w:rsid w:val="0B582596"/>
    <w:rsid w:val="0B5B4F86"/>
    <w:rsid w:val="0B5D1CFF"/>
    <w:rsid w:val="0B717C7F"/>
    <w:rsid w:val="0B7D3DAB"/>
    <w:rsid w:val="0B811AED"/>
    <w:rsid w:val="0B884C29"/>
    <w:rsid w:val="0BB542C0"/>
    <w:rsid w:val="0BB7550F"/>
    <w:rsid w:val="0BB80A2A"/>
    <w:rsid w:val="0BB91287"/>
    <w:rsid w:val="0BBA1C50"/>
    <w:rsid w:val="0BBB1CD2"/>
    <w:rsid w:val="0BCA5413"/>
    <w:rsid w:val="0BCB3631"/>
    <w:rsid w:val="0BCB4B16"/>
    <w:rsid w:val="0BCE4606"/>
    <w:rsid w:val="0BD04822"/>
    <w:rsid w:val="0BD51E39"/>
    <w:rsid w:val="0BFF2A12"/>
    <w:rsid w:val="0C0F373D"/>
    <w:rsid w:val="0C112E71"/>
    <w:rsid w:val="0C156355"/>
    <w:rsid w:val="0C182FEF"/>
    <w:rsid w:val="0C22507E"/>
    <w:rsid w:val="0C2A7A8F"/>
    <w:rsid w:val="0C2C3124"/>
    <w:rsid w:val="0C2D7E4D"/>
    <w:rsid w:val="0C2F4286"/>
    <w:rsid w:val="0C37664F"/>
    <w:rsid w:val="0C3B1C9C"/>
    <w:rsid w:val="0C3C625D"/>
    <w:rsid w:val="0C403756"/>
    <w:rsid w:val="0C4274CE"/>
    <w:rsid w:val="0C472C3A"/>
    <w:rsid w:val="0C4A6383"/>
    <w:rsid w:val="0C4C20FB"/>
    <w:rsid w:val="0C5E1E2E"/>
    <w:rsid w:val="0C5E598A"/>
    <w:rsid w:val="0C6359FD"/>
    <w:rsid w:val="0C683EAF"/>
    <w:rsid w:val="0C693011"/>
    <w:rsid w:val="0C6D0AE3"/>
    <w:rsid w:val="0C6D2071"/>
    <w:rsid w:val="0C71390F"/>
    <w:rsid w:val="0C771758"/>
    <w:rsid w:val="0C7E427E"/>
    <w:rsid w:val="0C833643"/>
    <w:rsid w:val="0C923886"/>
    <w:rsid w:val="0C9B6BDE"/>
    <w:rsid w:val="0CA82EA5"/>
    <w:rsid w:val="0CAD0AD3"/>
    <w:rsid w:val="0CAD6DD3"/>
    <w:rsid w:val="0CB67574"/>
    <w:rsid w:val="0CBD6B55"/>
    <w:rsid w:val="0CC57C7C"/>
    <w:rsid w:val="0CCE0D2E"/>
    <w:rsid w:val="0CD26AC0"/>
    <w:rsid w:val="0CD30B3F"/>
    <w:rsid w:val="0CD34E7E"/>
    <w:rsid w:val="0CD43E9E"/>
    <w:rsid w:val="0CE265BB"/>
    <w:rsid w:val="0CE268D4"/>
    <w:rsid w:val="0CE57E5A"/>
    <w:rsid w:val="0CE91379"/>
    <w:rsid w:val="0CFB7D4B"/>
    <w:rsid w:val="0D026C5D"/>
    <w:rsid w:val="0D0B3D64"/>
    <w:rsid w:val="0D1F15BD"/>
    <w:rsid w:val="0D23548F"/>
    <w:rsid w:val="0D241745"/>
    <w:rsid w:val="0D42705A"/>
    <w:rsid w:val="0D433F72"/>
    <w:rsid w:val="0D4373BF"/>
    <w:rsid w:val="0D5079C9"/>
    <w:rsid w:val="0D52243E"/>
    <w:rsid w:val="0D523741"/>
    <w:rsid w:val="0D570D57"/>
    <w:rsid w:val="0D5A25F6"/>
    <w:rsid w:val="0D5C45C0"/>
    <w:rsid w:val="0D645222"/>
    <w:rsid w:val="0D755681"/>
    <w:rsid w:val="0D774C18"/>
    <w:rsid w:val="0D7F3BC3"/>
    <w:rsid w:val="0D884323"/>
    <w:rsid w:val="0D907DC5"/>
    <w:rsid w:val="0DAB10A3"/>
    <w:rsid w:val="0DBC6E0C"/>
    <w:rsid w:val="0DBF68FD"/>
    <w:rsid w:val="0DC12675"/>
    <w:rsid w:val="0DC7331B"/>
    <w:rsid w:val="0DC857B1"/>
    <w:rsid w:val="0DCB704F"/>
    <w:rsid w:val="0DD56120"/>
    <w:rsid w:val="0DD8176C"/>
    <w:rsid w:val="0DDF2AFB"/>
    <w:rsid w:val="0DE34399"/>
    <w:rsid w:val="0DEE39B4"/>
    <w:rsid w:val="0DEF0A31"/>
    <w:rsid w:val="0DF02F5A"/>
    <w:rsid w:val="0DF76096"/>
    <w:rsid w:val="0E0B2053"/>
    <w:rsid w:val="0E246692"/>
    <w:rsid w:val="0E26072A"/>
    <w:rsid w:val="0E2F3A82"/>
    <w:rsid w:val="0E344BF5"/>
    <w:rsid w:val="0E3E3CC5"/>
    <w:rsid w:val="0E43308A"/>
    <w:rsid w:val="0E4426B2"/>
    <w:rsid w:val="0E455054"/>
    <w:rsid w:val="0E460DCC"/>
    <w:rsid w:val="0E464928"/>
    <w:rsid w:val="0E4B13F7"/>
    <w:rsid w:val="0E547045"/>
    <w:rsid w:val="0E5934E2"/>
    <w:rsid w:val="0E595851"/>
    <w:rsid w:val="0E602CB4"/>
    <w:rsid w:val="0E7D2A40"/>
    <w:rsid w:val="0E7E2314"/>
    <w:rsid w:val="0E80608C"/>
    <w:rsid w:val="0E843362"/>
    <w:rsid w:val="0E87741A"/>
    <w:rsid w:val="0E88682E"/>
    <w:rsid w:val="0E8A2A67"/>
    <w:rsid w:val="0E8F2773"/>
    <w:rsid w:val="0E903B36"/>
    <w:rsid w:val="0E903FD6"/>
    <w:rsid w:val="0E935761"/>
    <w:rsid w:val="0EB126E9"/>
    <w:rsid w:val="0EB43F87"/>
    <w:rsid w:val="0EB83A78"/>
    <w:rsid w:val="0EC3241C"/>
    <w:rsid w:val="0EC966A2"/>
    <w:rsid w:val="0ECE329B"/>
    <w:rsid w:val="0ED816A6"/>
    <w:rsid w:val="0EDB59B8"/>
    <w:rsid w:val="0EE63C63"/>
    <w:rsid w:val="0EED1247"/>
    <w:rsid w:val="0EF5379F"/>
    <w:rsid w:val="0F022F45"/>
    <w:rsid w:val="0F0C791F"/>
    <w:rsid w:val="0F0D45F7"/>
    <w:rsid w:val="0F1669F0"/>
    <w:rsid w:val="0F22536C"/>
    <w:rsid w:val="0F2F7A47"/>
    <w:rsid w:val="0F337F2A"/>
    <w:rsid w:val="0F384BB8"/>
    <w:rsid w:val="0F3C1C31"/>
    <w:rsid w:val="0F406D74"/>
    <w:rsid w:val="0F447297"/>
    <w:rsid w:val="0F4A3040"/>
    <w:rsid w:val="0F544B86"/>
    <w:rsid w:val="0F5A0DB5"/>
    <w:rsid w:val="0F5B515F"/>
    <w:rsid w:val="0F5D157F"/>
    <w:rsid w:val="0F5E24D6"/>
    <w:rsid w:val="0F722BEA"/>
    <w:rsid w:val="0F7D6FDB"/>
    <w:rsid w:val="0F805160"/>
    <w:rsid w:val="0F8120BC"/>
    <w:rsid w:val="0F827BE2"/>
    <w:rsid w:val="0F905100"/>
    <w:rsid w:val="0F926241"/>
    <w:rsid w:val="0F933B9D"/>
    <w:rsid w:val="0FA91612"/>
    <w:rsid w:val="0FAC0586"/>
    <w:rsid w:val="0FBA3649"/>
    <w:rsid w:val="0FBD1A3F"/>
    <w:rsid w:val="0FD60D71"/>
    <w:rsid w:val="0FDB5272"/>
    <w:rsid w:val="0FDF3286"/>
    <w:rsid w:val="0FDF5034"/>
    <w:rsid w:val="0FE74ED2"/>
    <w:rsid w:val="0FE97C61"/>
    <w:rsid w:val="0FF208D4"/>
    <w:rsid w:val="0FF528EF"/>
    <w:rsid w:val="0FF52AA9"/>
    <w:rsid w:val="0FFA00C0"/>
    <w:rsid w:val="0FFA6EBC"/>
    <w:rsid w:val="0FFE195E"/>
    <w:rsid w:val="0FFE370C"/>
    <w:rsid w:val="0FFF1232"/>
    <w:rsid w:val="10022AD1"/>
    <w:rsid w:val="101C1DE4"/>
    <w:rsid w:val="102F0BE9"/>
    <w:rsid w:val="10322C62"/>
    <w:rsid w:val="1034712E"/>
    <w:rsid w:val="103B628C"/>
    <w:rsid w:val="103C143A"/>
    <w:rsid w:val="10401F77"/>
    <w:rsid w:val="104C2C74"/>
    <w:rsid w:val="104F22A0"/>
    <w:rsid w:val="105B38F0"/>
    <w:rsid w:val="10611EED"/>
    <w:rsid w:val="1065378B"/>
    <w:rsid w:val="10665B03"/>
    <w:rsid w:val="10741C20"/>
    <w:rsid w:val="107B4D5D"/>
    <w:rsid w:val="10864EA8"/>
    <w:rsid w:val="10903220"/>
    <w:rsid w:val="109841C6"/>
    <w:rsid w:val="109B07D8"/>
    <w:rsid w:val="109B53FF"/>
    <w:rsid w:val="109C4CD3"/>
    <w:rsid w:val="10A51DDA"/>
    <w:rsid w:val="10A5743C"/>
    <w:rsid w:val="10B338B0"/>
    <w:rsid w:val="10C508D8"/>
    <w:rsid w:val="10C83D1A"/>
    <w:rsid w:val="10CF6E57"/>
    <w:rsid w:val="10D0497D"/>
    <w:rsid w:val="10D206F5"/>
    <w:rsid w:val="10D45545"/>
    <w:rsid w:val="10D74432"/>
    <w:rsid w:val="10D821AF"/>
    <w:rsid w:val="10D82867"/>
    <w:rsid w:val="10D91A83"/>
    <w:rsid w:val="10DD5A17"/>
    <w:rsid w:val="10E01064"/>
    <w:rsid w:val="10E31976"/>
    <w:rsid w:val="10E548CC"/>
    <w:rsid w:val="10E94AC2"/>
    <w:rsid w:val="10ED3781"/>
    <w:rsid w:val="10F92125"/>
    <w:rsid w:val="10FF17E1"/>
    <w:rsid w:val="110831BA"/>
    <w:rsid w:val="110E4174"/>
    <w:rsid w:val="11163ADF"/>
    <w:rsid w:val="112C24FB"/>
    <w:rsid w:val="11317878"/>
    <w:rsid w:val="113F222E"/>
    <w:rsid w:val="11416F6F"/>
    <w:rsid w:val="114710E3"/>
    <w:rsid w:val="115A7068"/>
    <w:rsid w:val="115B2DE0"/>
    <w:rsid w:val="115C2C58"/>
    <w:rsid w:val="11625F1D"/>
    <w:rsid w:val="11655E95"/>
    <w:rsid w:val="116C0B49"/>
    <w:rsid w:val="116E6670"/>
    <w:rsid w:val="116F4196"/>
    <w:rsid w:val="117B2B3A"/>
    <w:rsid w:val="117D075F"/>
    <w:rsid w:val="118539B9"/>
    <w:rsid w:val="118A0022"/>
    <w:rsid w:val="119C142F"/>
    <w:rsid w:val="11A11443"/>
    <w:rsid w:val="11A30A08"/>
    <w:rsid w:val="11A7392F"/>
    <w:rsid w:val="11A9487A"/>
    <w:rsid w:val="11AE4CBE"/>
    <w:rsid w:val="11B73422"/>
    <w:rsid w:val="11BA37C9"/>
    <w:rsid w:val="11BE2DE2"/>
    <w:rsid w:val="11C75D80"/>
    <w:rsid w:val="11C91AF8"/>
    <w:rsid w:val="11DB304C"/>
    <w:rsid w:val="11DB4B38"/>
    <w:rsid w:val="11DD55A3"/>
    <w:rsid w:val="11EC7A6E"/>
    <w:rsid w:val="11EE155E"/>
    <w:rsid w:val="11F0177A"/>
    <w:rsid w:val="11F76665"/>
    <w:rsid w:val="11F8062F"/>
    <w:rsid w:val="120B3D4E"/>
    <w:rsid w:val="121073DE"/>
    <w:rsid w:val="121C431D"/>
    <w:rsid w:val="1223075D"/>
    <w:rsid w:val="12246ED1"/>
    <w:rsid w:val="12302D61"/>
    <w:rsid w:val="123553DF"/>
    <w:rsid w:val="123978CE"/>
    <w:rsid w:val="123C051C"/>
    <w:rsid w:val="123C43E8"/>
    <w:rsid w:val="123C49C0"/>
    <w:rsid w:val="123D6042"/>
    <w:rsid w:val="12403B60"/>
    <w:rsid w:val="124D39CA"/>
    <w:rsid w:val="12502F4A"/>
    <w:rsid w:val="12577104"/>
    <w:rsid w:val="12650CA8"/>
    <w:rsid w:val="12655CC4"/>
    <w:rsid w:val="126C329A"/>
    <w:rsid w:val="12751C80"/>
    <w:rsid w:val="12797E16"/>
    <w:rsid w:val="127C300E"/>
    <w:rsid w:val="12822609"/>
    <w:rsid w:val="128A74D9"/>
    <w:rsid w:val="129157AD"/>
    <w:rsid w:val="12950E71"/>
    <w:rsid w:val="12A83E03"/>
    <w:rsid w:val="12BE716A"/>
    <w:rsid w:val="12C5503E"/>
    <w:rsid w:val="12C65A18"/>
    <w:rsid w:val="12D746E8"/>
    <w:rsid w:val="12D82C44"/>
    <w:rsid w:val="12E110C3"/>
    <w:rsid w:val="12ED0A11"/>
    <w:rsid w:val="12EF3A78"/>
    <w:rsid w:val="12EF778D"/>
    <w:rsid w:val="12F554FB"/>
    <w:rsid w:val="12FC32E0"/>
    <w:rsid w:val="12FC5EFD"/>
    <w:rsid w:val="12FD414F"/>
    <w:rsid w:val="13070B2A"/>
    <w:rsid w:val="13135EB3"/>
    <w:rsid w:val="13174AE5"/>
    <w:rsid w:val="131B45D5"/>
    <w:rsid w:val="131C20FB"/>
    <w:rsid w:val="132313D9"/>
    <w:rsid w:val="13240617"/>
    <w:rsid w:val="13257202"/>
    <w:rsid w:val="13274D28"/>
    <w:rsid w:val="132F1E2E"/>
    <w:rsid w:val="133438E9"/>
    <w:rsid w:val="13345697"/>
    <w:rsid w:val="133E6515"/>
    <w:rsid w:val="1340228E"/>
    <w:rsid w:val="13405DEA"/>
    <w:rsid w:val="13463D67"/>
    <w:rsid w:val="134753CA"/>
    <w:rsid w:val="13477178"/>
    <w:rsid w:val="13525B1D"/>
    <w:rsid w:val="135751BF"/>
    <w:rsid w:val="135B2B22"/>
    <w:rsid w:val="135D1C92"/>
    <w:rsid w:val="136523E1"/>
    <w:rsid w:val="136E2957"/>
    <w:rsid w:val="13724630"/>
    <w:rsid w:val="13872236"/>
    <w:rsid w:val="13914897"/>
    <w:rsid w:val="139525D9"/>
    <w:rsid w:val="139F0559"/>
    <w:rsid w:val="13A20852"/>
    <w:rsid w:val="13A91BE1"/>
    <w:rsid w:val="13AA076C"/>
    <w:rsid w:val="13AB7B7C"/>
    <w:rsid w:val="13B862C8"/>
    <w:rsid w:val="13BF1404"/>
    <w:rsid w:val="13BF7656"/>
    <w:rsid w:val="13C0038B"/>
    <w:rsid w:val="13D7607C"/>
    <w:rsid w:val="13D80718"/>
    <w:rsid w:val="13D83EAC"/>
    <w:rsid w:val="13E26254"/>
    <w:rsid w:val="13E62E35"/>
    <w:rsid w:val="13EC5383"/>
    <w:rsid w:val="13F10FD8"/>
    <w:rsid w:val="14024FE7"/>
    <w:rsid w:val="14074B59"/>
    <w:rsid w:val="140B464A"/>
    <w:rsid w:val="140C03C2"/>
    <w:rsid w:val="141860EE"/>
    <w:rsid w:val="141D25CF"/>
    <w:rsid w:val="141D612B"/>
    <w:rsid w:val="14290F74"/>
    <w:rsid w:val="142E20E6"/>
    <w:rsid w:val="143174A5"/>
    <w:rsid w:val="1437543F"/>
    <w:rsid w:val="14385EE1"/>
    <w:rsid w:val="14397409"/>
    <w:rsid w:val="143D4014"/>
    <w:rsid w:val="144B482A"/>
    <w:rsid w:val="144B7F4A"/>
    <w:rsid w:val="144C6FE7"/>
    <w:rsid w:val="144E2788"/>
    <w:rsid w:val="14506500"/>
    <w:rsid w:val="1457788F"/>
    <w:rsid w:val="1459605D"/>
    <w:rsid w:val="146B6E96"/>
    <w:rsid w:val="1470712F"/>
    <w:rsid w:val="14740441"/>
    <w:rsid w:val="14757D15"/>
    <w:rsid w:val="14773A8D"/>
    <w:rsid w:val="1482381B"/>
    <w:rsid w:val="14832D49"/>
    <w:rsid w:val="148458D3"/>
    <w:rsid w:val="148A26A1"/>
    <w:rsid w:val="148C3C1A"/>
    <w:rsid w:val="14A800EA"/>
    <w:rsid w:val="14B02192"/>
    <w:rsid w:val="14B922F8"/>
    <w:rsid w:val="14C91E0F"/>
    <w:rsid w:val="14E06953"/>
    <w:rsid w:val="14E652BF"/>
    <w:rsid w:val="14EB7FD7"/>
    <w:rsid w:val="14ED01F3"/>
    <w:rsid w:val="14F0383F"/>
    <w:rsid w:val="14F42246"/>
    <w:rsid w:val="14F926F4"/>
    <w:rsid w:val="150A66AF"/>
    <w:rsid w:val="150D1907"/>
    <w:rsid w:val="150D3433"/>
    <w:rsid w:val="15107A3E"/>
    <w:rsid w:val="15107C08"/>
    <w:rsid w:val="15125E28"/>
    <w:rsid w:val="15150AFB"/>
    <w:rsid w:val="15250E4E"/>
    <w:rsid w:val="1525798D"/>
    <w:rsid w:val="152C0D1B"/>
    <w:rsid w:val="152D239E"/>
    <w:rsid w:val="152F25BA"/>
    <w:rsid w:val="153F5267"/>
    <w:rsid w:val="15420113"/>
    <w:rsid w:val="154A79FC"/>
    <w:rsid w:val="154C4F1A"/>
    <w:rsid w:val="1552003B"/>
    <w:rsid w:val="15542020"/>
    <w:rsid w:val="155669BC"/>
    <w:rsid w:val="15597637"/>
    <w:rsid w:val="155B515D"/>
    <w:rsid w:val="155C2C83"/>
    <w:rsid w:val="157306F8"/>
    <w:rsid w:val="15787ABD"/>
    <w:rsid w:val="157940CA"/>
    <w:rsid w:val="157E55BA"/>
    <w:rsid w:val="157F52EF"/>
    <w:rsid w:val="158A77F0"/>
    <w:rsid w:val="159F3DF4"/>
    <w:rsid w:val="15AC3C0A"/>
    <w:rsid w:val="15B07B90"/>
    <w:rsid w:val="15B4486D"/>
    <w:rsid w:val="15B70744"/>
    <w:rsid w:val="15B71C16"/>
    <w:rsid w:val="15D31197"/>
    <w:rsid w:val="15D377B7"/>
    <w:rsid w:val="15D64CF8"/>
    <w:rsid w:val="15DA0777"/>
    <w:rsid w:val="15DE18EA"/>
    <w:rsid w:val="15E5359B"/>
    <w:rsid w:val="15E6711C"/>
    <w:rsid w:val="15E675F9"/>
    <w:rsid w:val="15EC2259"/>
    <w:rsid w:val="15EC38DA"/>
    <w:rsid w:val="15FB06EE"/>
    <w:rsid w:val="15FD6214"/>
    <w:rsid w:val="160D4DB2"/>
    <w:rsid w:val="16135A37"/>
    <w:rsid w:val="161A6DC6"/>
    <w:rsid w:val="16247C45"/>
    <w:rsid w:val="16273291"/>
    <w:rsid w:val="162D464E"/>
    <w:rsid w:val="1635318D"/>
    <w:rsid w:val="163C6398"/>
    <w:rsid w:val="16462363"/>
    <w:rsid w:val="16580991"/>
    <w:rsid w:val="1658169C"/>
    <w:rsid w:val="165A3666"/>
    <w:rsid w:val="165C118C"/>
    <w:rsid w:val="166718DF"/>
    <w:rsid w:val="166743C0"/>
    <w:rsid w:val="166A15AD"/>
    <w:rsid w:val="167F6D18"/>
    <w:rsid w:val="168801D3"/>
    <w:rsid w:val="168E1562"/>
    <w:rsid w:val="168F4A69"/>
    <w:rsid w:val="16917AAF"/>
    <w:rsid w:val="169A5917"/>
    <w:rsid w:val="169E6BB7"/>
    <w:rsid w:val="169F551D"/>
    <w:rsid w:val="16A762A5"/>
    <w:rsid w:val="16A843D2"/>
    <w:rsid w:val="16AA3A87"/>
    <w:rsid w:val="16AB581B"/>
    <w:rsid w:val="16AB7999"/>
    <w:rsid w:val="16AF0B11"/>
    <w:rsid w:val="16C136E5"/>
    <w:rsid w:val="16C3168A"/>
    <w:rsid w:val="16C805D0"/>
    <w:rsid w:val="16D06420"/>
    <w:rsid w:val="16D2344E"/>
    <w:rsid w:val="16DA0303"/>
    <w:rsid w:val="16EA49EA"/>
    <w:rsid w:val="16F412D7"/>
    <w:rsid w:val="16F733EF"/>
    <w:rsid w:val="16F77107"/>
    <w:rsid w:val="170240B9"/>
    <w:rsid w:val="170B670F"/>
    <w:rsid w:val="170F61FF"/>
    <w:rsid w:val="17176C61"/>
    <w:rsid w:val="172C5003"/>
    <w:rsid w:val="17342109"/>
    <w:rsid w:val="17345C65"/>
    <w:rsid w:val="17377504"/>
    <w:rsid w:val="173914CE"/>
    <w:rsid w:val="17410382"/>
    <w:rsid w:val="17423C62"/>
    <w:rsid w:val="174E2EB7"/>
    <w:rsid w:val="174F484D"/>
    <w:rsid w:val="17546308"/>
    <w:rsid w:val="17563E2E"/>
    <w:rsid w:val="175A2624"/>
    <w:rsid w:val="175D340E"/>
    <w:rsid w:val="17650515"/>
    <w:rsid w:val="176D18F5"/>
    <w:rsid w:val="17793FC0"/>
    <w:rsid w:val="177A32CC"/>
    <w:rsid w:val="178A7F7B"/>
    <w:rsid w:val="178E7A6B"/>
    <w:rsid w:val="17991F6C"/>
    <w:rsid w:val="1799771D"/>
    <w:rsid w:val="179E32E9"/>
    <w:rsid w:val="17AB40A1"/>
    <w:rsid w:val="17B60D70"/>
    <w:rsid w:val="17C0574B"/>
    <w:rsid w:val="17C369DD"/>
    <w:rsid w:val="17C421D5"/>
    <w:rsid w:val="17C739D2"/>
    <w:rsid w:val="17CE1BA5"/>
    <w:rsid w:val="17D17958"/>
    <w:rsid w:val="17D17D9B"/>
    <w:rsid w:val="17D86F39"/>
    <w:rsid w:val="17E06786"/>
    <w:rsid w:val="17E66F5B"/>
    <w:rsid w:val="17E73815"/>
    <w:rsid w:val="17F453F5"/>
    <w:rsid w:val="17F92A0B"/>
    <w:rsid w:val="17FF6273"/>
    <w:rsid w:val="18047D2E"/>
    <w:rsid w:val="18090EA0"/>
    <w:rsid w:val="180E64B6"/>
    <w:rsid w:val="181141F9"/>
    <w:rsid w:val="18137F71"/>
    <w:rsid w:val="181810E3"/>
    <w:rsid w:val="18185587"/>
    <w:rsid w:val="181932FF"/>
    <w:rsid w:val="1824217E"/>
    <w:rsid w:val="183121A5"/>
    <w:rsid w:val="18323044"/>
    <w:rsid w:val="18335F1D"/>
    <w:rsid w:val="18420856"/>
    <w:rsid w:val="184719C8"/>
    <w:rsid w:val="18561C0B"/>
    <w:rsid w:val="18583BD5"/>
    <w:rsid w:val="185A794E"/>
    <w:rsid w:val="186407CC"/>
    <w:rsid w:val="18671B31"/>
    <w:rsid w:val="18684BA9"/>
    <w:rsid w:val="186B56B7"/>
    <w:rsid w:val="18736C61"/>
    <w:rsid w:val="187471C2"/>
    <w:rsid w:val="18775C69"/>
    <w:rsid w:val="18805C37"/>
    <w:rsid w:val="188B7B07"/>
    <w:rsid w:val="18932320"/>
    <w:rsid w:val="18A171DC"/>
    <w:rsid w:val="18A4506D"/>
    <w:rsid w:val="18AD129B"/>
    <w:rsid w:val="18AD2173"/>
    <w:rsid w:val="18AD3F21"/>
    <w:rsid w:val="18B03A11"/>
    <w:rsid w:val="18B54B84"/>
    <w:rsid w:val="18B9317A"/>
    <w:rsid w:val="18BC23B6"/>
    <w:rsid w:val="18BD1C8B"/>
    <w:rsid w:val="18BD7EDC"/>
    <w:rsid w:val="18C222D8"/>
    <w:rsid w:val="18C66D91"/>
    <w:rsid w:val="18C820AD"/>
    <w:rsid w:val="18CE20EA"/>
    <w:rsid w:val="18D47700"/>
    <w:rsid w:val="18DA45EA"/>
    <w:rsid w:val="18DE057F"/>
    <w:rsid w:val="18DE232D"/>
    <w:rsid w:val="18E11E1D"/>
    <w:rsid w:val="18E45469"/>
    <w:rsid w:val="18EB4FF2"/>
    <w:rsid w:val="18F04BEF"/>
    <w:rsid w:val="18F27B86"/>
    <w:rsid w:val="18F57676"/>
    <w:rsid w:val="18F71640"/>
    <w:rsid w:val="190E6AD1"/>
    <w:rsid w:val="19143FA0"/>
    <w:rsid w:val="19164715"/>
    <w:rsid w:val="191E6BCD"/>
    <w:rsid w:val="192D5062"/>
    <w:rsid w:val="19393A07"/>
    <w:rsid w:val="193C323C"/>
    <w:rsid w:val="193C52A5"/>
    <w:rsid w:val="193D78C0"/>
    <w:rsid w:val="194859F8"/>
    <w:rsid w:val="194A06F3"/>
    <w:rsid w:val="194A0D8E"/>
    <w:rsid w:val="194A1770"/>
    <w:rsid w:val="194C4BE9"/>
    <w:rsid w:val="194D7A6C"/>
    <w:rsid w:val="19570331"/>
    <w:rsid w:val="195E521C"/>
    <w:rsid w:val="196C114C"/>
    <w:rsid w:val="19743286"/>
    <w:rsid w:val="197467ED"/>
    <w:rsid w:val="19764E80"/>
    <w:rsid w:val="197B520E"/>
    <w:rsid w:val="197B5DCD"/>
    <w:rsid w:val="197E58BE"/>
    <w:rsid w:val="19831126"/>
    <w:rsid w:val="1986011C"/>
    <w:rsid w:val="1993062A"/>
    <w:rsid w:val="19940C3D"/>
    <w:rsid w:val="199B021E"/>
    <w:rsid w:val="199C40ED"/>
    <w:rsid w:val="19A21814"/>
    <w:rsid w:val="19A8293B"/>
    <w:rsid w:val="19AB793B"/>
    <w:rsid w:val="19B51908"/>
    <w:rsid w:val="19BE215E"/>
    <w:rsid w:val="19BE54FC"/>
    <w:rsid w:val="19C109D2"/>
    <w:rsid w:val="19CD084B"/>
    <w:rsid w:val="19CE19A7"/>
    <w:rsid w:val="19E234B9"/>
    <w:rsid w:val="19E51499"/>
    <w:rsid w:val="19EC2827"/>
    <w:rsid w:val="19EC6CCB"/>
    <w:rsid w:val="1A023DF9"/>
    <w:rsid w:val="1A0C0E07"/>
    <w:rsid w:val="1A1641BE"/>
    <w:rsid w:val="1A262BD4"/>
    <w:rsid w:val="1A266185"/>
    <w:rsid w:val="1A27385F"/>
    <w:rsid w:val="1A277D14"/>
    <w:rsid w:val="1A362131"/>
    <w:rsid w:val="1A3B1263"/>
    <w:rsid w:val="1A3B730B"/>
    <w:rsid w:val="1A3F6DFB"/>
    <w:rsid w:val="1A4240A2"/>
    <w:rsid w:val="1A45329D"/>
    <w:rsid w:val="1A481287"/>
    <w:rsid w:val="1A4C32C6"/>
    <w:rsid w:val="1A4C6DBB"/>
    <w:rsid w:val="1A5605E9"/>
    <w:rsid w:val="1A6206E6"/>
    <w:rsid w:val="1A654388"/>
    <w:rsid w:val="1A676352"/>
    <w:rsid w:val="1A6C7B89"/>
    <w:rsid w:val="1A6E5932"/>
    <w:rsid w:val="1A752FEC"/>
    <w:rsid w:val="1A805517"/>
    <w:rsid w:val="1A873AF1"/>
    <w:rsid w:val="1A8A7433"/>
    <w:rsid w:val="1A9A032F"/>
    <w:rsid w:val="1ABF618E"/>
    <w:rsid w:val="1AC15A62"/>
    <w:rsid w:val="1AC25B01"/>
    <w:rsid w:val="1AC94917"/>
    <w:rsid w:val="1AD0754C"/>
    <w:rsid w:val="1AD75809"/>
    <w:rsid w:val="1AD82DAC"/>
    <w:rsid w:val="1ADF238C"/>
    <w:rsid w:val="1AE534E4"/>
    <w:rsid w:val="1AE63A6C"/>
    <w:rsid w:val="1AE71241"/>
    <w:rsid w:val="1AED4AA9"/>
    <w:rsid w:val="1AF06347"/>
    <w:rsid w:val="1AF20327"/>
    <w:rsid w:val="1AF51BB0"/>
    <w:rsid w:val="1AFE6CB6"/>
    <w:rsid w:val="1B0071E4"/>
    <w:rsid w:val="1B010554"/>
    <w:rsid w:val="1B063DBD"/>
    <w:rsid w:val="1B210BF7"/>
    <w:rsid w:val="1B214753"/>
    <w:rsid w:val="1B232B32"/>
    <w:rsid w:val="1B26620D"/>
    <w:rsid w:val="1B2D11A2"/>
    <w:rsid w:val="1B34092A"/>
    <w:rsid w:val="1B356450"/>
    <w:rsid w:val="1B3A5814"/>
    <w:rsid w:val="1B3A75C2"/>
    <w:rsid w:val="1B3C158C"/>
    <w:rsid w:val="1B45147E"/>
    <w:rsid w:val="1B4755FF"/>
    <w:rsid w:val="1B4A4FAF"/>
    <w:rsid w:val="1B4D36AA"/>
    <w:rsid w:val="1B4D72F6"/>
    <w:rsid w:val="1B516A8C"/>
    <w:rsid w:val="1B5302B4"/>
    <w:rsid w:val="1B542D7A"/>
    <w:rsid w:val="1B5763C6"/>
    <w:rsid w:val="1B5C1C2F"/>
    <w:rsid w:val="1B670F46"/>
    <w:rsid w:val="1B6875F7"/>
    <w:rsid w:val="1B694D12"/>
    <w:rsid w:val="1B7F1479"/>
    <w:rsid w:val="1B8076CB"/>
    <w:rsid w:val="1B836942"/>
    <w:rsid w:val="1B8942FC"/>
    <w:rsid w:val="1B8C2C7D"/>
    <w:rsid w:val="1B9969DF"/>
    <w:rsid w:val="1B9E5DA3"/>
    <w:rsid w:val="1BA14073"/>
    <w:rsid w:val="1BA3160C"/>
    <w:rsid w:val="1BA706BD"/>
    <w:rsid w:val="1BAF6202"/>
    <w:rsid w:val="1BAF7FB0"/>
    <w:rsid w:val="1BBE1FA1"/>
    <w:rsid w:val="1BC25F36"/>
    <w:rsid w:val="1BC82E20"/>
    <w:rsid w:val="1BCD0437"/>
    <w:rsid w:val="1BD01CD5"/>
    <w:rsid w:val="1BD143CB"/>
    <w:rsid w:val="1BD46FA1"/>
    <w:rsid w:val="1BEC4D61"/>
    <w:rsid w:val="1BF54E5E"/>
    <w:rsid w:val="1BF63E31"/>
    <w:rsid w:val="1BF709F4"/>
    <w:rsid w:val="1BF9712D"/>
    <w:rsid w:val="1BFE4A94"/>
    <w:rsid w:val="1C0306F4"/>
    <w:rsid w:val="1C033E58"/>
    <w:rsid w:val="1C0B6F87"/>
    <w:rsid w:val="1C0C5403"/>
    <w:rsid w:val="1C16002F"/>
    <w:rsid w:val="1C197B20"/>
    <w:rsid w:val="1C2C1601"/>
    <w:rsid w:val="1C39368A"/>
    <w:rsid w:val="1C3F7586"/>
    <w:rsid w:val="1C4E1577"/>
    <w:rsid w:val="1C4E5356"/>
    <w:rsid w:val="1C4F16D7"/>
    <w:rsid w:val="1C525167"/>
    <w:rsid w:val="1C632B49"/>
    <w:rsid w:val="1C6360EC"/>
    <w:rsid w:val="1C7A60C9"/>
    <w:rsid w:val="1C93136C"/>
    <w:rsid w:val="1C986C96"/>
    <w:rsid w:val="1C99656B"/>
    <w:rsid w:val="1C9B0535"/>
    <w:rsid w:val="1C9D1360"/>
    <w:rsid w:val="1CA218C3"/>
    <w:rsid w:val="1CAC2742"/>
    <w:rsid w:val="1CAC629E"/>
    <w:rsid w:val="1CAE2016"/>
    <w:rsid w:val="1CB338D9"/>
    <w:rsid w:val="1CB702B4"/>
    <w:rsid w:val="1CBF18AC"/>
    <w:rsid w:val="1CC23D13"/>
    <w:rsid w:val="1CC47A8B"/>
    <w:rsid w:val="1CD22F7D"/>
    <w:rsid w:val="1CE41EA1"/>
    <w:rsid w:val="1CED4858"/>
    <w:rsid w:val="1CF46DC5"/>
    <w:rsid w:val="1CFD4D4B"/>
    <w:rsid w:val="1D003B60"/>
    <w:rsid w:val="1D061E52"/>
    <w:rsid w:val="1D077978"/>
    <w:rsid w:val="1D081E29"/>
    <w:rsid w:val="1D097B94"/>
    <w:rsid w:val="1D13456F"/>
    <w:rsid w:val="1D156539"/>
    <w:rsid w:val="1D1B676C"/>
    <w:rsid w:val="1D1C3424"/>
    <w:rsid w:val="1D2A5630"/>
    <w:rsid w:val="1D37200B"/>
    <w:rsid w:val="1D3A6632"/>
    <w:rsid w:val="1D3D339A"/>
    <w:rsid w:val="1D445507"/>
    <w:rsid w:val="1D456E66"/>
    <w:rsid w:val="1D4604A0"/>
    <w:rsid w:val="1D464944"/>
    <w:rsid w:val="1D4A07D3"/>
    <w:rsid w:val="1D4B3D09"/>
    <w:rsid w:val="1D525097"/>
    <w:rsid w:val="1D552DD9"/>
    <w:rsid w:val="1D594678"/>
    <w:rsid w:val="1D69418F"/>
    <w:rsid w:val="1D790BEB"/>
    <w:rsid w:val="1D81772B"/>
    <w:rsid w:val="1D844232"/>
    <w:rsid w:val="1D846154"/>
    <w:rsid w:val="1D84721B"/>
    <w:rsid w:val="1D867089"/>
    <w:rsid w:val="1D880AB9"/>
    <w:rsid w:val="1D8A14F0"/>
    <w:rsid w:val="1DA65E17"/>
    <w:rsid w:val="1DA82F09"/>
    <w:rsid w:val="1DA90ACE"/>
    <w:rsid w:val="1DB775F0"/>
    <w:rsid w:val="1DBA49EB"/>
    <w:rsid w:val="1DC03AF7"/>
    <w:rsid w:val="1DC37D43"/>
    <w:rsid w:val="1DC7153C"/>
    <w:rsid w:val="1DD10CC2"/>
    <w:rsid w:val="1DD75402"/>
    <w:rsid w:val="1DDC7057"/>
    <w:rsid w:val="1DDF7A40"/>
    <w:rsid w:val="1DE06B47"/>
    <w:rsid w:val="1DE101C9"/>
    <w:rsid w:val="1DE744B0"/>
    <w:rsid w:val="1DFC5003"/>
    <w:rsid w:val="1E0C3858"/>
    <w:rsid w:val="1E14059F"/>
    <w:rsid w:val="1E1E4F79"/>
    <w:rsid w:val="1E2134DD"/>
    <w:rsid w:val="1E214A6A"/>
    <w:rsid w:val="1E2C58E8"/>
    <w:rsid w:val="1E2C7696"/>
    <w:rsid w:val="1E2F362A"/>
    <w:rsid w:val="1E3201A7"/>
    <w:rsid w:val="1E320A25"/>
    <w:rsid w:val="1E334EC9"/>
    <w:rsid w:val="1E4E3AB1"/>
    <w:rsid w:val="1E4F7829"/>
    <w:rsid w:val="1E524A2D"/>
    <w:rsid w:val="1E546BED"/>
    <w:rsid w:val="1E5F3116"/>
    <w:rsid w:val="1E6037E4"/>
    <w:rsid w:val="1E674B72"/>
    <w:rsid w:val="1E6A4438"/>
    <w:rsid w:val="1E746D84"/>
    <w:rsid w:val="1E7D6144"/>
    <w:rsid w:val="1E844CEA"/>
    <w:rsid w:val="1E8A260F"/>
    <w:rsid w:val="1E8F353E"/>
    <w:rsid w:val="1E93334F"/>
    <w:rsid w:val="1E9D2342"/>
    <w:rsid w:val="1E9E0462"/>
    <w:rsid w:val="1EA5569B"/>
    <w:rsid w:val="1EA731C1"/>
    <w:rsid w:val="1EAC7AE2"/>
    <w:rsid w:val="1EB1403F"/>
    <w:rsid w:val="1EBB6C6C"/>
    <w:rsid w:val="1EC37D91"/>
    <w:rsid w:val="1EC75611"/>
    <w:rsid w:val="1ECC2C27"/>
    <w:rsid w:val="1ED12B35"/>
    <w:rsid w:val="1EDD6BE3"/>
    <w:rsid w:val="1EE12B77"/>
    <w:rsid w:val="1EE44415"/>
    <w:rsid w:val="1EE60203"/>
    <w:rsid w:val="1EE61F3B"/>
    <w:rsid w:val="1EEC1102"/>
    <w:rsid w:val="1EEC32CA"/>
    <w:rsid w:val="1EEC5078"/>
    <w:rsid w:val="1EF36406"/>
    <w:rsid w:val="1EFF4DAB"/>
    <w:rsid w:val="1F0431F3"/>
    <w:rsid w:val="1F0D0973"/>
    <w:rsid w:val="1F0E4FEE"/>
    <w:rsid w:val="1F1A1BE5"/>
    <w:rsid w:val="1F1D3483"/>
    <w:rsid w:val="1F1E5314"/>
    <w:rsid w:val="1F204D21"/>
    <w:rsid w:val="1F291196"/>
    <w:rsid w:val="1F30765A"/>
    <w:rsid w:val="1F344FAE"/>
    <w:rsid w:val="1F394761"/>
    <w:rsid w:val="1F5F1CED"/>
    <w:rsid w:val="1F672950"/>
    <w:rsid w:val="1F757164"/>
    <w:rsid w:val="1F792DAF"/>
    <w:rsid w:val="1F7C4DE8"/>
    <w:rsid w:val="1F813A12"/>
    <w:rsid w:val="1F86727A"/>
    <w:rsid w:val="1F8D23B7"/>
    <w:rsid w:val="1F962B2D"/>
    <w:rsid w:val="1F9E45C4"/>
    <w:rsid w:val="1FA13035"/>
    <w:rsid w:val="1FBA6F24"/>
    <w:rsid w:val="1FD47FE6"/>
    <w:rsid w:val="1FD5034D"/>
    <w:rsid w:val="1FD9558D"/>
    <w:rsid w:val="1FD955FC"/>
    <w:rsid w:val="1FDB3CCA"/>
    <w:rsid w:val="1FDB75C6"/>
    <w:rsid w:val="1FDC3EDB"/>
    <w:rsid w:val="1FE066F7"/>
    <w:rsid w:val="1FE16BA6"/>
    <w:rsid w:val="1FE65F6B"/>
    <w:rsid w:val="1FE71021"/>
    <w:rsid w:val="1FE97CC8"/>
    <w:rsid w:val="1FF42436"/>
    <w:rsid w:val="1FF468DA"/>
    <w:rsid w:val="1FF93EF0"/>
    <w:rsid w:val="1FF97A4C"/>
    <w:rsid w:val="201900EE"/>
    <w:rsid w:val="201D1F72"/>
    <w:rsid w:val="201E3957"/>
    <w:rsid w:val="20221AB5"/>
    <w:rsid w:val="2022602D"/>
    <w:rsid w:val="2025476B"/>
    <w:rsid w:val="2032056D"/>
    <w:rsid w:val="20371552"/>
    <w:rsid w:val="203D63DC"/>
    <w:rsid w:val="204F1D62"/>
    <w:rsid w:val="20605D1D"/>
    <w:rsid w:val="20651585"/>
    <w:rsid w:val="20685C53"/>
    <w:rsid w:val="20690E1D"/>
    <w:rsid w:val="206A26F8"/>
    <w:rsid w:val="20730A5A"/>
    <w:rsid w:val="207342B6"/>
    <w:rsid w:val="20754406"/>
    <w:rsid w:val="20757974"/>
    <w:rsid w:val="20795C2A"/>
    <w:rsid w:val="207967BF"/>
    <w:rsid w:val="207D730F"/>
    <w:rsid w:val="20801F1B"/>
    <w:rsid w:val="208337BA"/>
    <w:rsid w:val="2084273E"/>
    <w:rsid w:val="20864F46"/>
    <w:rsid w:val="208966A8"/>
    <w:rsid w:val="208E14EF"/>
    <w:rsid w:val="20924822"/>
    <w:rsid w:val="20995346"/>
    <w:rsid w:val="20A53730"/>
    <w:rsid w:val="20B2762E"/>
    <w:rsid w:val="20BE47F2"/>
    <w:rsid w:val="20CC5161"/>
    <w:rsid w:val="20DA3C69"/>
    <w:rsid w:val="20DA7E04"/>
    <w:rsid w:val="20DD3991"/>
    <w:rsid w:val="20DD736E"/>
    <w:rsid w:val="20DE6C42"/>
    <w:rsid w:val="20E55537"/>
    <w:rsid w:val="20EB5CF5"/>
    <w:rsid w:val="20F326ED"/>
    <w:rsid w:val="20F52909"/>
    <w:rsid w:val="20F748D2"/>
    <w:rsid w:val="20F80BB6"/>
    <w:rsid w:val="20FA1CCE"/>
    <w:rsid w:val="21072A39"/>
    <w:rsid w:val="21134B3E"/>
    <w:rsid w:val="211508B6"/>
    <w:rsid w:val="211803A6"/>
    <w:rsid w:val="2120725A"/>
    <w:rsid w:val="21260D15"/>
    <w:rsid w:val="212E1977"/>
    <w:rsid w:val="213056EF"/>
    <w:rsid w:val="213276BA"/>
    <w:rsid w:val="21350F58"/>
    <w:rsid w:val="214B077B"/>
    <w:rsid w:val="214E67BA"/>
    <w:rsid w:val="215F5FD5"/>
    <w:rsid w:val="2166191C"/>
    <w:rsid w:val="216B0628"/>
    <w:rsid w:val="216B3E44"/>
    <w:rsid w:val="21751354"/>
    <w:rsid w:val="217F530D"/>
    <w:rsid w:val="2188552B"/>
    <w:rsid w:val="218E2416"/>
    <w:rsid w:val="218E68BA"/>
    <w:rsid w:val="21946BF6"/>
    <w:rsid w:val="21960C3F"/>
    <w:rsid w:val="2197737E"/>
    <w:rsid w:val="219958B3"/>
    <w:rsid w:val="219D08AB"/>
    <w:rsid w:val="21A7792B"/>
    <w:rsid w:val="21AD0AEE"/>
    <w:rsid w:val="21AF42BB"/>
    <w:rsid w:val="21B10A39"/>
    <w:rsid w:val="21B207FA"/>
    <w:rsid w:val="21B24356"/>
    <w:rsid w:val="21B83EE0"/>
    <w:rsid w:val="21BA76AF"/>
    <w:rsid w:val="21C67161"/>
    <w:rsid w:val="21C77B3B"/>
    <w:rsid w:val="21C81DCC"/>
    <w:rsid w:val="21C97B19"/>
    <w:rsid w:val="21D20555"/>
    <w:rsid w:val="21D520B1"/>
    <w:rsid w:val="21D70261"/>
    <w:rsid w:val="21E30AD6"/>
    <w:rsid w:val="21E464DA"/>
    <w:rsid w:val="21E57A9C"/>
    <w:rsid w:val="21EA1D42"/>
    <w:rsid w:val="21F01467"/>
    <w:rsid w:val="21F4671D"/>
    <w:rsid w:val="22056B7C"/>
    <w:rsid w:val="220801E2"/>
    <w:rsid w:val="220A4192"/>
    <w:rsid w:val="220B7F0B"/>
    <w:rsid w:val="22140B6D"/>
    <w:rsid w:val="22146DBF"/>
    <w:rsid w:val="221548E5"/>
    <w:rsid w:val="221E19EC"/>
    <w:rsid w:val="222114DC"/>
    <w:rsid w:val="222A213F"/>
    <w:rsid w:val="222A4975"/>
    <w:rsid w:val="22326B0B"/>
    <w:rsid w:val="22431452"/>
    <w:rsid w:val="224551CB"/>
    <w:rsid w:val="224F1189"/>
    <w:rsid w:val="225450B1"/>
    <w:rsid w:val="22602004"/>
    <w:rsid w:val="22645FCD"/>
    <w:rsid w:val="226A4C31"/>
    <w:rsid w:val="226E6DAF"/>
    <w:rsid w:val="22715FC0"/>
    <w:rsid w:val="227606B8"/>
    <w:rsid w:val="22761828"/>
    <w:rsid w:val="22791318"/>
    <w:rsid w:val="227B6E3E"/>
    <w:rsid w:val="227D2BB6"/>
    <w:rsid w:val="227E692E"/>
    <w:rsid w:val="228D0920"/>
    <w:rsid w:val="229845DA"/>
    <w:rsid w:val="229B5C7A"/>
    <w:rsid w:val="22A2261D"/>
    <w:rsid w:val="22B81625"/>
    <w:rsid w:val="22BD1205"/>
    <w:rsid w:val="22C203C0"/>
    <w:rsid w:val="22CC1448"/>
    <w:rsid w:val="22CD3F5B"/>
    <w:rsid w:val="22CE51C0"/>
    <w:rsid w:val="22D2770F"/>
    <w:rsid w:val="22D447A0"/>
    <w:rsid w:val="22E26EBD"/>
    <w:rsid w:val="22E744D4"/>
    <w:rsid w:val="22E76282"/>
    <w:rsid w:val="22EE01FF"/>
    <w:rsid w:val="22F02621"/>
    <w:rsid w:val="22F34C27"/>
    <w:rsid w:val="22FB1D2D"/>
    <w:rsid w:val="22FB3ADB"/>
    <w:rsid w:val="22FB7F7F"/>
    <w:rsid w:val="23076924"/>
    <w:rsid w:val="231057D9"/>
    <w:rsid w:val="231150AD"/>
    <w:rsid w:val="23130E25"/>
    <w:rsid w:val="23160915"/>
    <w:rsid w:val="232B0864"/>
    <w:rsid w:val="232C5F66"/>
    <w:rsid w:val="232F19D7"/>
    <w:rsid w:val="233314C7"/>
    <w:rsid w:val="233429F8"/>
    <w:rsid w:val="233A0AA7"/>
    <w:rsid w:val="233A3F8C"/>
    <w:rsid w:val="233A4603"/>
    <w:rsid w:val="233E161A"/>
    <w:rsid w:val="233E43F8"/>
    <w:rsid w:val="233F7E6C"/>
    <w:rsid w:val="23582CDC"/>
    <w:rsid w:val="235A6A54"/>
    <w:rsid w:val="235E5C65"/>
    <w:rsid w:val="235F050E"/>
    <w:rsid w:val="235F22BC"/>
    <w:rsid w:val="236B0C61"/>
    <w:rsid w:val="236B5698"/>
    <w:rsid w:val="23782976"/>
    <w:rsid w:val="237C10C0"/>
    <w:rsid w:val="237D3639"/>
    <w:rsid w:val="23931F66"/>
    <w:rsid w:val="23952BC2"/>
    <w:rsid w:val="23971A56"/>
    <w:rsid w:val="23A44173"/>
    <w:rsid w:val="23B33E8E"/>
    <w:rsid w:val="23BA6B2D"/>
    <w:rsid w:val="23C12F77"/>
    <w:rsid w:val="23C14D25"/>
    <w:rsid w:val="23C93BD9"/>
    <w:rsid w:val="23CD191B"/>
    <w:rsid w:val="23CF3667"/>
    <w:rsid w:val="23D22A8E"/>
    <w:rsid w:val="23D73D2A"/>
    <w:rsid w:val="23DA7039"/>
    <w:rsid w:val="23DD69D6"/>
    <w:rsid w:val="23E0577A"/>
    <w:rsid w:val="23FE351D"/>
    <w:rsid w:val="24051BA8"/>
    <w:rsid w:val="24053736"/>
    <w:rsid w:val="241237D2"/>
    <w:rsid w:val="24172B97"/>
    <w:rsid w:val="2419690F"/>
    <w:rsid w:val="241C63FF"/>
    <w:rsid w:val="241F37F9"/>
    <w:rsid w:val="24247062"/>
    <w:rsid w:val="242B6642"/>
    <w:rsid w:val="24311EAA"/>
    <w:rsid w:val="24331A70"/>
    <w:rsid w:val="2435126F"/>
    <w:rsid w:val="24392B0D"/>
    <w:rsid w:val="244009AF"/>
    <w:rsid w:val="24417C14"/>
    <w:rsid w:val="24431BDE"/>
    <w:rsid w:val="2443573A"/>
    <w:rsid w:val="244551D8"/>
    <w:rsid w:val="24480EDE"/>
    <w:rsid w:val="24482D50"/>
    <w:rsid w:val="244871F4"/>
    <w:rsid w:val="244B32BA"/>
    <w:rsid w:val="245A4C34"/>
    <w:rsid w:val="24633955"/>
    <w:rsid w:val="246A18D3"/>
    <w:rsid w:val="246F29D3"/>
    <w:rsid w:val="2473378D"/>
    <w:rsid w:val="24743B45"/>
    <w:rsid w:val="24757636"/>
    <w:rsid w:val="2479115B"/>
    <w:rsid w:val="248865C2"/>
    <w:rsid w:val="248F1707"/>
    <w:rsid w:val="249915AE"/>
    <w:rsid w:val="24A3442A"/>
    <w:rsid w:val="24C3687B"/>
    <w:rsid w:val="24C85C3F"/>
    <w:rsid w:val="24CD23CA"/>
    <w:rsid w:val="24CD6AB7"/>
    <w:rsid w:val="24CF313A"/>
    <w:rsid w:val="24D42836"/>
    <w:rsid w:val="24D9609E"/>
    <w:rsid w:val="24EC7B7F"/>
    <w:rsid w:val="24FF1C13"/>
    <w:rsid w:val="25056E93"/>
    <w:rsid w:val="25076767"/>
    <w:rsid w:val="25164BFC"/>
    <w:rsid w:val="2519649B"/>
    <w:rsid w:val="251A0B90"/>
    <w:rsid w:val="252217F3"/>
    <w:rsid w:val="2524184E"/>
    <w:rsid w:val="252437BD"/>
    <w:rsid w:val="25276E09"/>
    <w:rsid w:val="252E0198"/>
    <w:rsid w:val="252F1AE8"/>
    <w:rsid w:val="25324BBC"/>
    <w:rsid w:val="25355EDB"/>
    <w:rsid w:val="25377F50"/>
    <w:rsid w:val="2546163C"/>
    <w:rsid w:val="254A30E5"/>
    <w:rsid w:val="255B13C5"/>
    <w:rsid w:val="255D409B"/>
    <w:rsid w:val="257858B7"/>
    <w:rsid w:val="257B7155"/>
    <w:rsid w:val="257D1F44"/>
    <w:rsid w:val="25853B30"/>
    <w:rsid w:val="258E50DA"/>
    <w:rsid w:val="25950217"/>
    <w:rsid w:val="259D0E7A"/>
    <w:rsid w:val="25A22934"/>
    <w:rsid w:val="25A42208"/>
    <w:rsid w:val="25B123F9"/>
    <w:rsid w:val="25B34B41"/>
    <w:rsid w:val="25B424E2"/>
    <w:rsid w:val="25BC39F6"/>
    <w:rsid w:val="25BD32CA"/>
    <w:rsid w:val="25BF3437"/>
    <w:rsid w:val="25C95979"/>
    <w:rsid w:val="25DE535E"/>
    <w:rsid w:val="25E44A5C"/>
    <w:rsid w:val="25F211C5"/>
    <w:rsid w:val="260B4207"/>
    <w:rsid w:val="26103D41"/>
    <w:rsid w:val="261254FB"/>
    <w:rsid w:val="26190E48"/>
    <w:rsid w:val="2619463A"/>
    <w:rsid w:val="261C3D4E"/>
    <w:rsid w:val="26215F4F"/>
    <w:rsid w:val="26263565"/>
    <w:rsid w:val="262F6987"/>
    <w:rsid w:val="263B480B"/>
    <w:rsid w:val="26413EFB"/>
    <w:rsid w:val="26467763"/>
    <w:rsid w:val="26484C80"/>
    <w:rsid w:val="265005E2"/>
    <w:rsid w:val="26505AD0"/>
    <w:rsid w:val="265D3C03"/>
    <w:rsid w:val="267A11BB"/>
    <w:rsid w:val="267F67D1"/>
    <w:rsid w:val="26962499"/>
    <w:rsid w:val="26977FBF"/>
    <w:rsid w:val="269F0C21"/>
    <w:rsid w:val="26A85D28"/>
    <w:rsid w:val="26AF0EED"/>
    <w:rsid w:val="26B35DCE"/>
    <w:rsid w:val="26BC0F9F"/>
    <w:rsid w:val="26CF1507"/>
    <w:rsid w:val="26D22DA5"/>
    <w:rsid w:val="26D703BB"/>
    <w:rsid w:val="26DA3B4A"/>
    <w:rsid w:val="26F014C8"/>
    <w:rsid w:val="26FC6074"/>
    <w:rsid w:val="27037402"/>
    <w:rsid w:val="27085738"/>
    <w:rsid w:val="270D0281"/>
    <w:rsid w:val="27107ED9"/>
    <w:rsid w:val="271D3D1F"/>
    <w:rsid w:val="27225ADA"/>
    <w:rsid w:val="27272151"/>
    <w:rsid w:val="272D4881"/>
    <w:rsid w:val="272F1FA5"/>
    <w:rsid w:val="27331CE1"/>
    <w:rsid w:val="274570EF"/>
    <w:rsid w:val="274E68CF"/>
    <w:rsid w:val="27545B53"/>
    <w:rsid w:val="275E20DF"/>
    <w:rsid w:val="27634CB8"/>
    <w:rsid w:val="276A7481"/>
    <w:rsid w:val="276E106B"/>
    <w:rsid w:val="2776700E"/>
    <w:rsid w:val="277954F9"/>
    <w:rsid w:val="277F4CDB"/>
    <w:rsid w:val="27800A53"/>
    <w:rsid w:val="278B7B24"/>
    <w:rsid w:val="278C5368"/>
    <w:rsid w:val="27906EE8"/>
    <w:rsid w:val="27955CCC"/>
    <w:rsid w:val="279664C8"/>
    <w:rsid w:val="279B588D"/>
    <w:rsid w:val="279E5B74"/>
    <w:rsid w:val="27A26C1B"/>
    <w:rsid w:val="27A504B9"/>
    <w:rsid w:val="27AE736E"/>
    <w:rsid w:val="27B21F8B"/>
    <w:rsid w:val="27B70919"/>
    <w:rsid w:val="27B82AA4"/>
    <w:rsid w:val="27BB0366"/>
    <w:rsid w:val="27BB7CDD"/>
    <w:rsid w:val="27C13545"/>
    <w:rsid w:val="27C272BD"/>
    <w:rsid w:val="27DD5EA5"/>
    <w:rsid w:val="27F356C9"/>
    <w:rsid w:val="28051A14"/>
    <w:rsid w:val="280C22E7"/>
    <w:rsid w:val="280E3973"/>
    <w:rsid w:val="2817512F"/>
    <w:rsid w:val="28180D37"/>
    <w:rsid w:val="281B4AE7"/>
    <w:rsid w:val="281E53C6"/>
    <w:rsid w:val="28235FAE"/>
    <w:rsid w:val="2829733C"/>
    <w:rsid w:val="28364467"/>
    <w:rsid w:val="283F2A53"/>
    <w:rsid w:val="284D302B"/>
    <w:rsid w:val="284E33D6"/>
    <w:rsid w:val="28510CB4"/>
    <w:rsid w:val="2852419D"/>
    <w:rsid w:val="28553C8E"/>
    <w:rsid w:val="28620159"/>
    <w:rsid w:val="28887BBF"/>
    <w:rsid w:val="28974A46"/>
    <w:rsid w:val="289A5B44"/>
    <w:rsid w:val="289C18BC"/>
    <w:rsid w:val="289E2002"/>
    <w:rsid w:val="289F315B"/>
    <w:rsid w:val="28AA5A71"/>
    <w:rsid w:val="28B5297E"/>
    <w:rsid w:val="28C055AB"/>
    <w:rsid w:val="28CA01D8"/>
    <w:rsid w:val="28CD7CC8"/>
    <w:rsid w:val="28CF4FC9"/>
    <w:rsid w:val="28D52D76"/>
    <w:rsid w:val="28EA2628"/>
    <w:rsid w:val="28EA6ACC"/>
    <w:rsid w:val="28EB2D30"/>
    <w:rsid w:val="28EF40E2"/>
    <w:rsid w:val="28F90ABD"/>
    <w:rsid w:val="28F95878"/>
    <w:rsid w:val="28FE4325"/>
    <w:rsid w:val="291122AA"/>
    <w:rsid w:val="2919115F"/>
    <w:rsid w:val="291B0A33"/>
    <w:rsid w:val="29210D37"/>
    <w:rsid w:val="29235B3A"/>
    <w:rsid w:val="292A79E1"/>
    <w:rsid w:val="293428D9"/>
    <w:rsid w:val="293B2E83"/>
    <w:rsid w:val="293B7327"/>
    <w:rsid w:val="293C106B"/>
    <w:rsid w:val="294C6E3F"/>
    <w:rsid w:val="295372BB"/>
    <w:rsid w:val="29587103"/>
    <w:rsid w:val="29593F64"/>
    <w:rsid w:val="29600BAA"/>
    <w:rsid w:val="296D0E96"/>
    <w:rsid w:val="296F6FD1"/>
    <w:rsid w:val="29746395"/>
    <w:rsid w:val="297B7724"/>
    <w:rsid w:val="2987256D"/>
    <w:rsid w:val="2996630C"/>
    <w:rsid w:val="299F78B6"/>
    <w:rsid w:val="29A7676B"/>
    <w:rsid w:val="29B55675"/>
    <w:rsid w:val="29BA649E"/>
    <w:rsid w:val="29C44076"/>
    <w:rsid w:val="29C64906"/>
    <w:rsid w:val="29D07A70"/>
    <w:rsid w:val="29DA269C"/>
    <w:rsid w:val="29E10D32"/>
    <w:rsid w:val="29E654E5"/>
    <w:rsid w:val="29EE439A"/>
    <w:rsid w:val="29EF3C6E"/>
    <w:rsid w:val="29F91705"/>
    <w:rsid w:val="29FD45DD"/>
    <w:rsid w:val="29FD638B"/>
    <w:rsid w:val="2A021BF3"/>
    <w:rsid w:val="2A027E45"/>
    <w:rsid w:val="2A0400B7"/>
    <w:rsid w:val="2A043BBD"/>
    <w:rsid w:val="2A0B4F4C"/>
    <w:rsid w:val="2A0D4A84"/>
    <w:rsid w:val="2A1118C9"/>
    <w:rsid w:val="2A157B78"/>
    <w:rsid w:val="2A175F40"/>
    <w:rsid w:val="2A1805FD"/>
    <w:rsid w:val="2A1C040D"/>
    <w:rsid w:val="2A1F27A5"/>
    <w:rsid w:val="2A241B69"/>
    <w:rsid w:val="2A246B9F"/>
    <w:rsid w:val="2A297180"/>
    <w:rsid w:val="2A383867"/>
    <w:rsid w:val="2A433BE2"/>
    <w:rsid w:val="2A480266"/>
    <w:rsid w:val="2A510484"/>
    <w:rsid w:val="2A552356"/>
    <w:rsid w:val="2A552F13"/>
    <w:rsid w:val="2A557F75"/>
    <w:rsid w:val="2A561A2E"/>
    <w:rsid w:val="2A5C1303"/>
    <w:rsid w:val="2A60320F"/>
    <w:rsid w:val="2A6C52BE"/>
    <w:rsid w:val="2A701253"/>
    <w:rsid w:val="2A707A61"/>
    <w:rsid w:val="2A783938"/>
    <w:rsid w:val="2A7D127A"/>
    <w:rsid w:val="2A7E1E12"/>
    <w:rsid w:val="2A7F4FF2"/>
    <w:rsid w:val="2A8B1BE9"/>
    <w:rsid w:val="2A92596F"/>
    <w:rsid w:val="2A955A31"/>
    <w:rsid w:val="2A97233B"/>
    <w:rsid w:val="2A973C48"/>
    <w:rsid w:val="2A9B0FEC"/>
    <w:rsid w:val="2A9B1160"/>
    <w:rsid w:val="2ABB2529"/>
    <w:rsid w:val="2ABE3B6C"/>
    <w:rsid w:val="2ACB6489"/>
    <w:rsid w:val="2ACD0453"/>
    <w:rsid w:val="2ACD2201"/>
    <w:rsid w:val="2ACF5F79"/>
    <w:rsid w:val="2AD52E64"/>
    <w:rsid w:val="2AD61783"/>
    <w:rsid w:val="2AD748CF"/>
    <w:rsid w:val="2AD91C3E"/>
    <w:rsid w:val="2AEB7200"/>
    <w:rsid w:val="2AEC6B2B"/>
    <w:rsid w:val="2AF63AF2"/>
    <w:rsid w:val="2AF923CF"/>
    <w:rsid w:val="2B113B0E"/>
    <w:rsid w:val="2B142FBB"/>
    <w:rsid w:val="2B1765E9"/>
    <w:rsid w:val="2B1A46C4"/>
    <w:rsid w:val="2B1B11BE"/>
    <w:rsid w:val="2B1B6171"/>
    <w:rsid w:val="2B33475A"/>
    <w:rsid w:val="2B341EF0"/>
    <w:rsid w:val="2B345DDC"/>
    <w:rsid w:val="2B361B54"/>
    <w:rsid w:val="2B3B53BD"/>
    <w:rsid w:val="2B3E4EAD"/>
    <w:rsid w:val="2B3E6C5B"/>
    <w:rsid w:val="2B441DC1"/>
    <w:rsid w:val="2B5605C8"/>
    <w:rsid w:val="2B585F6F"/>
    <w:rsid w:val="2B595843"/>
    <w:rsid w:val="2B5C5333"/>
    <w:rsid w:val="2B6111BC"/>
    <w:rsid w:val="2B626DED"/>
    <w:rsid w:val="2B6C7E70"/>
    <w:rsid w:val="2B6F32B8"/>
    <w:rsid w:val="2B732DA8"/>
    <w:rsid w:val="2B783975"/>
    <w:rsid w:val="2B7F799F"/>
    <w:rsid w:val="2B807273"/>
    <w:rsid w:val="2B836D64"/>
    <w:rsid w:val="2B8A146A"/>
    <w:rsid w:val="2B8B31A4"/>
    <w:rsid w:val="2B8E0647"/>
    <w:rsid w:val="2B9454D0"/>
    <w:rsid w:val="2B9D1BD3"/>
    <w:rsid w:val="2B9D6077"/>
    <w:rsid w:val="2BA528E8"/>
    <w:rsid w:val="2BAA609E"/>
    <w:rsid w:val="2BB03AF1"/>
    <w:rsid w:val="2BB27312"/>
    <w:rsid w:val="2BB4516F"/>
    <w:rsid w:val="2BB976CD"/>
    <w:rsid w:val="2BC929C8"/>
    <w:rsid w:val="2BC949B7"/>
    <w:rsid w:val="2BCC4267"/>
    <w:rsid w:val="2BD26902"/>
    <w:rsid w:val="2BEF7F55"/>
    <w:rsid w:val="2BF0264B"/>
    <w:rsid w:val="2BF13CCD"/>
    <w:rsid w:val="2BFC70F0"/>
    <w:rsid w:val="2BFD6B16"/>
    <w:rsid w:val="2C10541E"/>
    <w:rsid w:val="2C111A14"/>
    <w:rsid w:val="2C131E96"/>
    <w:rsid w:val="2C1874AC"/>
    <w:rsid w:val="2C1C51EE"/>
    <w:rsid w:val="2C251BC9"/>
    <w:rsid w:val="2C332DE9"/>
    <w:rsid w:val="2C343611"/>
    <w:rsid w:val="2C385D6B"/>
    <w:rsid w:val="2C3A38C6"/>
    <w:rsid w:val="2C3F2C8B"/>
    <w:rsid w:val="2C3F712F"/>
    <w:rsid w:val="2C464019"/>
    <w:rsid w:val="2C484235"/>
    <w:rsid w:val="2C520C10"/>
    <w:rsid w:val="2C550700"/>
    <w:rsid w:val="2C55425C"/>
    <w:rsid w:val="2C597D1A"/>
    <w:rsid w:val="2C5D1363"/>
    <w:rsid w:val="2C615316"/>
    <w:rsid w:val="2C64760B"/>
    <w:rsid w:val="2C695F59"/>
    <w:rsid w:val="2C6B3A80"/>
    <w:rsid w:val="2C712660"/>
    <w:rsid w:val="2C764495"/>
    <w:rsid w:val="2C7A22E1"/>
    <w:rsid w:val="2C7E7C57"/>
    <w:rsid w:val="2C7F39CF"/>
    <w:rsid w:val="2C7F6B8A"/>
    <w:rsid w:val="2C8578CE"/>
    <w:rsid w:val="2C910AF4"/>
    <w:rsid w:val="2C9E3E55"/>
    <w:rsid w:val="2C9E7F1F"/>
    <w:rsid w:val="2C9F197B"/>
    <w:rsid w:val="2CA84CD4"/>
    <w:rsid w:val="2CB97BDE"/>
    <w:rsid w:val="2CBA4A07"/>
    <w:rsid w:val="2CBC5391"/>
    <w:rsid w:val="2CBD0053"/>
    <w:rsid w:val="2CC66F08"/>
    <w:rsid w:val="2CD52468"/>
    <w:rsid w:val="2CDA29B3"/>
    <w:rsid w:val="2CE33F5E"/>
    <w:rsid w:val="2CE644CE"/>
    <w:rsid w:val="2CE81EF4"/>
    <w:rsid w:val="2CE83322"/>
    <w:rsid w:val="2D045C82"/>
    <w:rsid w:val="2D0B34A1"/>
    <w:rsid w:val="2D1E19B9"/>
    <w:rsid w:val="2D1F59ED"/>
    <w:rsid w:val="2D2F476C"/>
    <w:rsid w:val="2D312F83"/>
    <w:rsid w:val="2D3E1194"/>
    <w:rsid w:val="2D4A5D8B"/>
    <w:rsid w:val="2D4B150D"/>
    <w:rsid w:val="2D531589"/>
    <w:rsid w:val="2D60735C"/>
    <w:rsid w:val="2D713949"/>
    <w:rsid w:val="2D727090"/>
    <w:rsid w:val="2D7742B9"/>
    <w:rsid w:val="2D7B5F44"/>
    <w:rsid w:val="2D83555C"/>
    <w:rsid w:val="2D856A36"/>
    <w:rsid w:val="2D865AD4"/>
    <w:rsid w:val="2D8C0151"/>
    <w:rsid w:val="2D904132"/>
    <w:rsid w:val="2D9042F7"/>
    <w:rsid w:val="2D9214E0"/>
    <w:rsid w:val="2DA84860"/>
    <w:rsid w:val="2DA853C9"/>
    <w:rsid w:val="2DAF2092"/>
    <w:rsid w:val="2DB41456"/>
    <w:rsid w:val="2DBA12B4"/>
    <w:rsid w:val="2DBB168C"/>
    <w:rsid w:val="2DBB4593"/>
    <w:rsid w:val="2DBE543C"/>
    <w:rsid w:val="2DC0604D"/>
    <w:rsid w:val="2DC801AD"/>
    <w:rsid w:val="2DD6761F"/>
    <w:rsid w:val="2DD83397"/>
    <w:rsid w:val="2DD90EBD"/>
    <w:rsid w:val="2DD94C15"/>
    <w:rsid w:val="2DDB69E3"/>
    <w:rsid w:val="2DDE509E"/>
    <w:rsid w:val="2DE312CD"/>
    <w:rsid w:val="2DEA5D33"/>
    <w:rsid w:val="2DEC6E42"/>
    <w:rsid w:val="2DFB0E33"/>
    <w:rsid w:val="2DFB2E4B"/>
    <w:rsid w:val="2DFF23B5"/>
    <w:rsid w:val="2E094915"/>
    <w:rsid w:val="2E127C0A"/>
    <w:rsid w:val="2E1B3283"/>
    <w:rsid w:val="2E2760CC"/>
    <w:rsid w:val="2E34363D"/>
    <w:rsid w:val="2E4427DA"/>
    <w:rsid w:val="2E4C78E1"/>
    <w:rsid w:val="2E4E3659"/>
    <w:rsid w:val="2E536EC1"/>
    <w:rsid w:val="2E5C5D76"/>
    <w:rsid w:val="2E67471B"/>
    <w:rsid w:val="2E683B0A"/>
    <w:rsid w:val="2E6E76B6"/>
    <w:rsid w:val="2E756E38"/>
    <w:rsid w:val="2E7B3D22"/>
    <w:rsid w:val="2E825968"/>
    <w:rsid w:val="2E861045"/>
    <w:rsid w:val="2E904053"/>
    <w:rsid w:val="2E9C1044"/>
    <w:rsid w:val="2EB857A7"/>
    <w:rsid w:val="2EBA2A9C"/>
    <w:rsid w:val="2EC57342"/>
    <w:rsid w:val="2EE45D6B"/>
    <w:rsid w:val="2EE93382"/>
    <w:rsid w:val="2EED69CE"/>
    <w:rsid w:val="2EF73CF0"/>
    <w:rsid w:val="2EFA62B4"/>
    <w:rsid w:val="2EFF4953"/>
    <w:rsid w:val="2F0877C8"/>
    <w:rsid w:val="2F091204"/>
    <w:rsid w:val="2F155DA1"/>
    <w:rsid w:val="2F1A4E5A"/>
    <w:rsid w:val="2F1E302B"/>
    <w:rsid w:val="2F210D6D"/>
    <w:rsid w:val="2F266384"/>
    <w:rsid w:val="2F2D14C0"/>
    <w:rsid w:val="2F2F348A"/>
    <w:rsid w:val="2F370591"/>
    <w:rsid w:val="2F3960B7"/>
    <w:rsid w:val="2F3E547B"/>
    <w:rsid w:val="2F433D54"/>
    <w:rsid w:val="2F480C30"/>
    <w:rsid w:val="2F4D1B62"/>
    <w:rsid w:val="2F513423"/>
    <w:rsid w:val="2F5729E1"/>
    <w:rsid w:val="2F57478F"/>
    <w:rsid w:val="2F5B427F"/>
    <w:rsid w:val="2F635456"/>
    <w:rsid w:val="2F656EAC"/>
    <w:rsid w:val="2F675360"/>
    <w:rsid w:val="2F68074A"/>
    <w:rsid w:val="2F6916AA"/>
    <w:rsid w:val="2F6A2714"/>
    <w:rsid w:val="2F7D0FB0"/>
    <w:rsid w:val="2F876B3F"/>
    <w:rsid w:val="2F8F217B"/>
    <w:rsid w:val="2F911D08"/>
    <w:rsid w:val="2F9149F7"/>
    <w:rsid w:val="2F9B28CE"/>
    <w:rsid w:val="2F9C05CB"/>
    <w:rsid w:val="2FA61BBB"/>
    <w:rsid w:val="2FAD0853"/>
    <w:rsid w:val="2FB325A3"/>
    <w:rsid w:val="2FB90FA6"/>
    <w:rsid w:val="2FBB6ACC"/>
    <w:rsid w:val="2FBC45F2"/>
    <w:rsid w:val="2FC260AC"/>
    <w:rsid w:val="2FC31E25"/>
    <w:rsid w:val="2FCA6D0F"/>
    <w:rsid w:val="2FCF07C9"/>
    <w:rsid w:val="2FD44032"/>
    <w:rsid w:val="2FD86CE5"/>
    <w:rsid w:val="2FDD4EC8"/>
    <w:rsid w:val="2FDF42CD"/>
    <w:rsid w:val="2FEF6776"/>
    <w:rsid w:val="2FF60642"/>
    <w:rsid w:val="2FF712C7"/>
    <w:rsid w:val="2FFB15BE"/>
    <w:rsid w:val="2FFB1C50"/>
    <w:rsid w:val="2FFF63F9"/>
    <w:rsid w:val="30032221"/>
    <w:rsid w:val="3004520A"/>
    <w:rsid w:val="300B797D"/>
    <w:rsid w:val="300F506A"/>
    <w:rsid w:val="30110DE2"/>
    <w:rsid w:val="30146D95"/>
    <w:rsid w:val="301A5EE8"/>
    <w:rsid w:val="301B57BD"/>
    <w:rsid w:val="30204B81"/>
    <w:rsid w:val="3021446E"/>
    <w:rsid w:val="30242A3A"/>
    <w:rsid w:val="30263342"/>
    <w:rsid w:val="30281C88"/>
    <w:rsid w:val="302B49C7"/>
    <w:rsid w:val="302F3016"/>
    <w:rsid w:val="30322FA2"/>
    <w:rsid w:val="30330D58"/>
    <w:rsid w:val="303F594F"/>
    <w:rsid w:val="30423E45"/>
    <w:rsid w:val="30444D13"/>
    <w:rsid w:val="304545E8"/>
    <w:rsid w:val="304765B2"/>
    <w:rsid w:val="304A705A"/>
    <w:rsid w:val="304C1E1A"/>
    <w:rsid w:val="304F7BF1"/>
    <w:rsid w:val="30536D05"/>
    <w:rsid w:val="30562C99"/>
    <w:rsid w:val="305D7B83"/>
    <w:rsid w:val="305E21CF"/>
    <w:rsid w:val="30626EBE"/>
    <w:rsid w:val="306427D2"/>
    <w:rsid w:val="306A602F"/>
    <w:rsid w:val="30717AD3"/>
    <w:rsid w:val="307214C6"/>
    <w:rsid w:val="30731155"/>
    <w:rsid w:val="307B625B"/>
    <w:rsid w:val="307F7AFA"/>
    <w:rsid w:val="3082583C"/>
    <w:rsid w:val="308415B4"/>
    <w:rsid w:val="308471EB"/>
    <w:rsid w:val="308B09A4"/>
    <w:rsid w:val="30AB6B41"/>
    <w:rsid w:val="30B26121"/>
    <w:rsid w:val="30BF68C3"/>
    <w:rsid w:val="30C1718D"/>
    <w:rsid w:val="30C4467E"/>
    <w:rsid w:val="30CC59E1"/>
    <w:rsid w:val="30CF7342"/>
    <w:rsid w:val="30D616E4"/>
    <w:rsid w:val="30D862EC"/>
    <w:rsid w:val="30E24E48"/>
    <w:rsid w:val="30E453B4"/>
    <w:rsid w:val="30EB306F"/>
    <w:rsid w:val="30F57DBC"/>
    <w:rsid w:val="30F85AFE"/>
    <w:rsid w:val="30FC67C7"/>
    <w:rsid w:val="30FC739C"/>
    <w:rsid w:val="30FD3114"/>
    <w:rsid w:val="30FF50DE"/>
    <w:rsid w:val="31012C04"/>
    <w:rsid w:val="31045716"/>
    <w:rsid w:val="31046251"/>
    <w:rsid w:val="31052FE7"/>
    <w:rsid w:val="3106646D"/>
    <w:rsid w:val="31091AB9"/>
    <w:rsid w:val="3115220C"/>
    <w:rsid w:val="311F752F"/>
    <w:rsid w:val="31216E03"/>
    <w:rsid w:val="313A1936"/>
    <w:rsid w:val="313F54DB"/>
    <w:rsid w:val="313F7907"/>
    <w:rsid w:val="31411253"/>
    <w:rsid w:val="31413001"/>
    <w:rsid w:val="314A45AB"/>
    <w:rsid w:val="31564A68"/>
    <w:rsid w:val="315C42DF"/>
    <w:rsid w:val="315E271C"/>
    <w:rsid w:val="315F16D9"/>
    <w:rsid w:val="3163373C"/>
    <w:rsid w:val="3163566D"/>
    <w:rsid w:val="317452AA"/>
    <w:rsid w:val="31750EFD"/>
    <w:rsid w:val="3179279B"/>
    <w:rsid w:val="317E6003"/>
    <w:rsid w:val="31803982"/>
    <w:rsid w:val="31855066"/>
    <w:rsid w:val="319C75DF"/>
    <w:rsid w:val="319E0453"/>
    <w:rsid w:val="319E7876"/>
    <w:rsid w:val="31A33CBC"/>
    <w:rsid w:val="31A65BBC"/>
    <w:rsid w:val="31A66AB4"/>
    <w:rsid w:val="31A90BA5"/>
    <w:rsid w:val="31AA504A"/>
    <w:rsid w:val="31B47C77"/>
    <w:rsid w:val="31BE6EAB"/>
    <w:rsid w:val="31BF0628"/>
    <w:rsid w:val="31C205E6"/>
    <w:rsid w:val="31C756D3"/>
    <w:rsid w:val="31C94725"/>
    <w:rsid w:val="31CB6D6E"/>
    <w:rsid w:val="31CD0D39"/>
    <w:rsid w:val="31DC5891"/>
    <w:rsid w:val="31DD584B"/>
    <w:rsid w:val="31E06CBE"/>
    <w:rsid w:val="31ED4287"/>
    <w:rsid w:val="31F451E2"/>
    <w:rsid w:val="31F807B9"/>
    <w:rsid w:val="31F938DC"/>
    <w:rsid w:val="32036508"/>
    <w:rsid w:val="320504D2"/>
    <w:rsid w:val="320A7897"/>
    <w:rsid w:val="320D5506"/>
    <w:rsid w:val="320D7E0E"/>
    <w:rsid w:val="32107ED0"/>
    <w:rsid w:val="32110636"/>
    <w:rsid w:val="321133F7"/>
    <w:rsid w:val="32171FB4"/>
    <w:rsid w:val="321D581C"/>
    <w:rsid w:val="32224030"/>
    <w:rsid w:val="322F7468"/>
    <w:rsid w:val="32326DEE"/>
    <w:rsid w:val="323808A8"/>
    <w:rsid w:val="32382656"/>
    <w:rsid w:val="323B0398"/>
    <w:rsid w:val="32464391"/>
    <w:rsid w:val="324A618B"/>
    <w:rsid w:val="324E00CB"/>
    <w:rsid w:val="324F1E45"/>
    <w:rsid w:val="325D030E"/>
    <w:rsid w:val="325E7BE3"/>
    <w:rsid w:val="32607DFF"/>
    <w:rsid w:val="32650F71"/>
    <w:rsid w:val="32690A61"/>
    <w:rsid w:val="326A117D"/>
    <w:rsid w:val="326A5D92"/>
    <w:rsid w:val="326A6587"/>
    <w:rsid w:val="326C2300"/>
    <w:rsid w:val="32777CC8"/>
    <w:rsid w:val="32792E2E"/>
    <w:rsid w:val="32821B23"/>
    <w:rsid w:val="32884250"/>
    <w:rsid w:val="32953D1F"/>
    <w:rsid w:val="32963820"/>
    <w:rsid w:val="3296737C"/>
    <w:rsid w:val="329B4993"/>
    <w:rsid w:val="32B900B2"/>
    <w:rsid w:val="32BF68D3"/>
    <w:rsid w:val="32C24615"/>
    <w:rsid w:val="32C263C3"/>
    <w:rsid w:val="32DD1D08"/>
    <w:rsid w:val="32DE1F9F"/>
    <w:rsid w:val="32E26A66"/>
    <w:rsid w:val="32E620B2"/>
    <w:rsid w:val="32E93950"/>
    <w:rsid w:val="32EC51EE"/>
    <w:rsid w:val="32F30451"/>
    <w:rsid w:val="32FF13C6"/>
    <w:rsid w:val="33095248"/>
    <w:rsid w:val="33136C1F"/>
    <w:rsid w:val="331A046E"/>
    <w:rsid w:val="331D184C"/>
    <w:rsid w:val="33226E62"/>
    <w:rsid w:val="33274478"/>
    <w:rsid w:val="332A6B16"/>
    <w:rsid w:val="3330332D"/>
    <w:rsid w:val="333070CF"/>
    <w:rsid w:val="333C6176"/>
    <w:rsid w:val="334170BE"/>
    <w:rsid w:val="33460DA3"/>
    <w:rsid w:val="334A7AC2"/>
    <w:rsid w:val="334F40FB"/>
    <w:rsid w:val="3350577D"/>
    <w:rsid w:val="335C010C"/>
    <w:rsid w:val="336B0809"/>
    <w:rsid w:val="33721B98"/>
    <w:rsid w:val="337A5FAB"/>
    <w:rsid w:val="338F44F8"/>
    <w:rsid w:val="33A51F6D"/>
    <w:rsid w:val="33AD2BD0"/>
    <w:rsid w:val="33B14536"/>
    <w:rsid w:val="33B2468A"/>
    <w:rsid w:val="33C1667B"/>
    <w:rsid w:val="33CC5D95"/>
    <w:rsid w:val="33CD2241"/>
    <w:rsid w:val="33CF2B46"/>
    <w:rsid w:val="33D12D62"/>
    <w:rsid w:val="33D60378"/>
    <w:rsid w:val="33DE0FDB"/>
    <w:rsid w:val="33E91944"/>
    <w:rsid w:val="33EC194A"/>
    <w:rsid w:val="33EF31E8"/>
    <w:rsid w:val="33F2214E"/>
    <w:rsid w:val="33F425AD"/>
    <w:rsid w:val="33F61609"/>
    <w:rsid w:val="33FE1A44"/>
    <w:rsid w:val="340071A3"/>
    <w:rsid w:val="3402116D"/>
    <w:rsid w:val="341174E5"/>
    <w:rsid w:val="341D7D55"/>
    <w:rsid w:val="342E1F62"/>
    <w:rsid w:val="343B642D"/>
    <w:rsid w:val="34427616"/>
    <w:rsid w:val="344828F8"/>
    <w:rsid w:val="344A041F"/>
    <w:rsid w:val="344A16FB"/>
    <w:rsid w:val="344A6670"/>
    <w:rsid w:val="344D6161"/>
    <w:rsid w:val="344E43B3"/>
    <w:rsid w:val="344F3C87"/>
    <w:rsid w:val="345C70E9"/>
    <w:rsid w:val="345E036E"/>
    <w:rsid w:val="345E5CC0"/>
    <w:rsid w:val="346534AA"/>
    <w:rsid w:val="34666D8C"/>
    <w:rsid w:val="34707D7F"/>
    <w:rsid w:val="34727975"/>
    <w:rsid w:val="347E456C"/>
    <w:rsid w:val="34806536"/>
    <w:rsid w:val="34836376"/>
    <w:rsid w:val="348576A9"/>
    <w:rsid w:val="3493314E"/>
    <w:rsid w:val="349618B6"/>
    <w:rsid w:val="34963664"/>
    <w:rsid w:val="349977F4"/>
    <w:rsid w:val="349D2C44"/>
    <w:rsid w:val="34A43FD3"/>
    <w:rsid w:val="34A57D4B"/>
    <w:rsid w:val="34A75771"/>
    <w:rsid w:val="34B377D4"/>
    <w:rsid w:val="34B54432"/>
    <w:rsid w:val="34C63AEA"/>
    <w:rsid w:val="34CB7DC1"/>
    <w:rsid w:val="34D16D92"/>
    <w:rsid w:val="34D21E6E"/>
    <w:rsid w:val="34D66156"/>
    <w:rsid w:val="34DD43B0"/>
    <w:rsid w:val="34E161DA"/>
    <w:rsid w:val="34E61680"/>
    <w:rsid w:val="34E73EBF"/>
    <w:rsid w:val="34E832F9"/>
    <w:rsid w:val="34FA0097"/>
    <w:rsid w:val="34FD1935"/>
    <w:rsid w:val="34FD336F"/>
    <w:rsid w:val="350031D3"/>
    <w:rsid w:val="350155F3"/>
    <w:rsid w:val="350535BC"/>
    <w:rsid w:val="350B1C4F"/>
    <w:rsid w:val="350C5C16"/>
    <w:rsid w:val="351E2CD3"/>
    <w:rsid w:val="351F5D4F"/>
    <w:rsid w:val="352256B5"/>
    <w:rsid w:val="352B64A2"/>
    <w:rsid w:val="35326D7C"/>
    <w:rsid w:val="35327830"/>
    <w:rsid w:val="353847C5"/>
    <w:rsid w:val="353D7F83"/>
    <w:rsid w:val="353F4BDD"/>
    <w:rsid w:val="354603DD"/>
    <w:rsid w:val="354B26A0"/>
    <w:rsid w:val="354E6333"/>
    <w:rsid w:val="35523A2F"/>
    <w:rsid w:val="35597693"/>
    <w:rsid w:val="355D6871"/>
    <w:rsid w:val="3566572C"/>
    <w:rsid w:val="35675000"/>
    <w:rsid w:val="356E638F"/>
    <w:rsid w:val="35926521"/>
    <w:rsid w:val="35933CBE"/>
    <w:rsid w:val="359B0FA1"/>
    <w:rsid w:val="359F165A"/>
    <w:rsid w:val="35A3428A"/>
    <w:rsid w:val="35AB0531"/>
    <w:rsid w:val="35B21360"/>
    <w:rsid w:val="35B41300"/>
    <w:rsid w:val="35B91D00"/>
    <w:rsid w:val="35BB5A78"/>
    <w:rsid w:val="35C83CF1"/>
    <w:rsid w:val="35D02BA5"/>
    <w:rsid w:val="35D05A62"/>
    <w:rsid w:val="35DC6A5F"/>
    <w:rsid w:val="35E054DE"/>
    <w:rsid w:val="35E0728C"/>
    <w:rsid w:val="35E87A5C"/>
    <w:rsid w:val="35F44AE6"/>
    <w:rsid w:val="35F5260C"/>
    <w:rsid w:val="36095255"/>
    <w:rsid w:val="36145188"/>
    <w:rsid w:val="361909F0"/>
    <w:rsid w:val="36260A17"/>
    <w:rsid w:val="3628478F"/>
    <w:rsid w:val="362D24BD"/>
    <w:rsid w:val="36391FB9"/>
    <w:rsid w:val="363D414B"/>
    <w:rsid w:val="364F61C0"/>
    <w:rsid w:val="3651018A"/>
    <w:rsid w:val="365555C4"/>
    <w:rsid w:val="36566C1F"/>
    <w:rsid w:val="365D08DD"/>
    <w:rsid w:val="36601F02"/>
    <w:rsid w:val="36631C6B"/>
    <w:rsid w:val="3679438E"/>
    <w:rsid w:val="367B501A"/>
    <w:rsid w:val="36877708"/>
    <w:rsid w:val="368A369C"/>
    <w:rsid w:val="369342FF"/>
    <w:rsid w:val="36983C3C"/>
    <w:rsid w:val="36B44275"/>
    <w:rsid w:val="36B956B8"/>
    <w:rsid w:val="36C400A0"/>
    <w:rsid w:val="36C721FA"/>
    <w:rsid w:val="36C841D0"/>
    <w:rsid w:val="36C871D4"/>
    <w:rsid w:val="36D554E4"/>
    <w:rsid w:val="36D641EB"/>
    <w:rsid w:val="36DD37CC"/>
    <w:rsid w:val="36DD7799"/>
    <w:rsid w:val="36E20DE2"/>
    <w:rsid w:val="36E508D2"/>
    <w:rsid w:val="36F44085"/>
    <w:rsid w:val="36FA6F28"/>
    <w:rsid w:val="36FF1994"/>
    <w:rsid w:val="36FF4A43"/>
    <w:rsid w:val="37040D59"/>
    <w:rsid w:val="371371EE"/>
    <w:rsid w:val="3720190B"/>
    <w:rsid w:val="37210F1A"/>
    <w:rsid w:val="372223AA"/>
    <w:rsid w:val="37227431"/>
    <w:rsid w:val="372C6501"/>
    <w:rsid w:val="37332E31"/>
    <w:rsid w:val="373619BF"/>
    <w:rsid w:val="373B4692"/>
    <w:rsid w:val="373D426B"/>
    <w:rsid w:val="37415CB3"/>
    <w:rsid w:val="37450207"/>
    <w:rsid w:val="374E0226"/>
    <w:rsid w:val="374E6478"/>
    <w:rsid w:val="375D1E78"/>
    <w:rsid w:val="375F6020"/>
    <w:rsid w:val="37603F8F"/>
    <w:rsid w:val="377203B8"/>
    <w:rsid w:val="37732382"/>
    <w:rsid w:val="377834F5"/>
    <w:rsid w:val="377C4D93"/>
    <w:rsid w:val="37895702"/>
    <w:rsid w:val="378B147A"/>
    <w:rsid w:val="378E4AC6"/>
    <w:rsid w:val="378E7F9A"/>
    <w:rsid w:val="379A346B"/>
    <w:rsid w:val="379B7B98"/>
    <w:rsid w:val="37A61E10"/>
    <w:rsid w:val="37A97B52"/>
    <w:rsid w:val="37B02C8E"/>
    <w:rsid w:val="37C4673A"/>
    <w:rsid w:val="37C8447C"/>
    <w:rsid w:val="37CE3CEC"/>
    <w:rsid w:val="37DA7D0B"/>
    <w:rsid w:val="37DB6A4E"/>
    <w:rsid w:val="37E172EC"/>
    <w:rsid w:val="37E860CF"/>
    <w:rsid w:val="37EC09B6"/>
    <w:rsid w:val="37F310CA"/>
    <w:rsid w:val="38067AA6"/>
    <w:rsid w:val="381E5E4A"/>
    <w:rsid w:val="38213B8C"/>
    <w:rsid w:val="38481119"/>
    <w:rsid w:val="38481310"/>
    <w:rsid w:val="38486C0E"/>
    <w:rsid w:val="384A0B60"/>
    <w:rsid w:val="384A6C3F"/>
    <w:rsid w:val="38563836"/>
    <w:rsid w:val="385B52F0"/>
    <w:rsid w:val="385B709E"/>
    <w:rsid w:val="385E26EA"/>
    <w:rsid w:val="38610896"/>
    <w:rsid w:val="386140AE"/>
    <w:rsid w:val="38685317"/>
    <w:rsid w:val="38686BC5"/>
    <w:rsid w:val="38746D92"/>
    <w:rsid w:val="38767FEE"/>
    <w:rsid w:val="387827D6"/>
    <w:rsid w:val="387E719E"/>
    <w:rsid w:val="38A31F2B"/>
    <w:rsid w:val="38A50319"/>
    <w:rsid w:val="38A61D2C"/>
    <w:rsid w:val="38A64043"/>
    <w:rsid w:val="38AA1430"/>
    <w:rsid w:val="38AC5B4C"/>
    <w:rsid w:val="38B67B31"/>
    <w:rsid w:val="38B8629F"/>
    <w:rsid w:val="38BB655F"/>
    <w:rsid w:val="38C033A5"/>
    <w:rsid w:val="38C53BA4"/>
    <w:rsid w:val="38C950C6"/>
    <w:rsid w:val="38DD7AB3"/>
    <w:rsid w:val="38DE55D9"/>
    <w:rsid w:val="38E66747"/>
    <w:rsid w:val="38EF5A38"/>
    <w:rsid w:val="38FA30DF"/>
    <w:rsid w:val="390A2AC9"/>
    <w:rsid w:val="390B0AC4"/>
    <w:rsid w:val="390E5EBF"/>
    <w:rsid w:val="39194C1E"/>
    <w:rsid w:val="392A30FB"/>
    <w:rsid w:val="392C0A3B"/>
    <w:rsid w:val="393873DF"/>
    <w:rsid w:val="3939654A"/>
    <w:rsid w:val="39444F94"/>
    <w:rsid w:val="39533276"/>
    <w:rsid w:val="395835DE"/>
    <w:rsid w:val="395A3541"/>
    <w:rsid w:val="395B4E7C"/>
    <w:rsid w:val="396226AE"/>
    <w:rsid w:val="39622C09"/>
    <w:rsid w:val="3962620A"/>
    <w:rsid w:val="396B7DEA"/>
    <w:rsid w:val="3971469F"/>
    <w:rsid w:val="3985465B"/>
    <w:rsid w:val="39A131D7"/>
    <w:rsid w:val="39A139C2"/>
    <w:rsid w:val="39A22AAB"/>
    <w:rsid w:val="39A305F6"/>
    <w:rsid w:val="39A71695"/>
    <w:rsid w:val="39B34CB8"/>
    <w:rsid w:val="39BE5B37"/>
    <w:rsid w:val="39CD30F0"/>
    <w:rsid w:val="39CE564E"/>
    <w:rsid w:val="39E3559D"/>
    <w:rsid w:val="39E3734B"/>
    <w:rsid w:val="39E72DD8"/>
    <w:rsid w:val="39F5707E"/>
    <w:rsid w:val="3A020010"/>
    <w:rsid w:val="3A130856"/>
    <w:rsid w:val="3A1B478A"/>
    <w:rsid w:val="3A1D1C29"/>
    <w:rsid w:val="3A217E73"/>
    <w:rsid w:val="3A2B06B8"/>
    <w:rsid w:val="3A2B0CF2"/>
    <w:rsid w:val="3A2B484E"/>
    <w:rsid w:val="3A2E433E"/>
    <w:rsid w:val="3A30455A"/>
    <w:rsid w:val="3A3D4F53"/>
    <w:rsid w:val="3A3D6D1C"/>
    <w:rsid w:val="3A445910"/>
    <w:rsid w:val="3A4A73CA"/>
    <w:rsid w:val="3A555D6F"/>
    <w:rsid w:val="3A68758F"/>
    <w:rsid w:val="3A6F5083"/>
    <w:rsid w:val="3A837C55"/>
    <w:rsid w:val="3A853962"/>
    <w:rsid w:val="3A943791"/>
    <w:rsid w:val="3A9643BE"/>
    <w:rsid w:val="3A965BB9"/>
    <w:rsid w:val="3A9735E5"/>
    <w:rsid w:val="3AA34D2C"/>
    <w:rsid w:val="3AA54601"/>
    <w:rsid w:val="3AA765CB"/>
    <w:rsid w:val="3AB25DFB"/>
    <w:rsid w:val="3AC16F61"/>
    <w:rsid w:val="3AC56A51"/>
    <w:rsid w:val="3ACA72AB"/>
    <w:rsid w:val="3AD00DB6"/>
    <w:rsid w:val="3AF64E5C"/>
    <w:rsid w:val="3AFB6916"/>
    <w:rsid w:val="3AFD443D"/>
    <w:rsid w:val="3B070E17"/>
    <w:rsid w:val="3B184B07"/>
    <w:rsid w:val="3B1D2834"/>
    <w:rsid w:val="3B1F5D8D"/>
    <w:rsid w:val="3B247C1B"/>
    <w:rsid w:val="3B275263"/>
    <w:rsid w:val="3B283FEC"/>
    <w:rsid w:val="3B324BFB"/>
    <w:rsid w:val="3B381919"/>
    <w:rsid w:val="3B46294E"/>
    <w:rsid w:val="3B4756B8"/>
    <w:rsid w:val="3B4972B1"/>
    <w:rsid w:val="3B514788"/>
    <w:rsid w:val="3B583D69"/>
    <w:rsid w:val="3B5A363D"/>
    <w:rsid w:val="3B602C1D"/>
    <w:rsid w:val="3B653D90"/>
    <w:rsid w:val="3B690E46"/>
    <w:rsid w:val="3B6A11BB"/>
    <w:rsid w:val="3B6C15C2"/>
    <w:rsid w:val="3B70502D"/>
    <w:rsid w:val="3B7444A1"/>
    <w:rsid w:val="3B7837BF"/>
    <w:rsid w:val="3B7A3CDF"/>
    <w:rsid w:val="3B7A5A8D"/>
    <w:rsid w:val="3B7F4E52"/>
    <w:rsid w:val="3B8561E0"/>
    <w:rsid w:val="3B9052B1"/>
    <w:rsid w:val="3B974891"/>
    <w:rsid w:val="3B983454"/>
    <w:rsid w:val="3B984165"/>
    <w:rsid w:val="3B985F13"/>
    <w:rsid w:val="3B9A612F"/>
    <w:rsid w:val="3BA13E9C"/>
    <w:rsid w:val="3BA52299"/>
    <w:rsid w:val="3BB4717C"/>
    <w:rsid w:val="3BC74A4B"/>
    <w:rsid w:val="3BD038FF"/>
    <w:rsid w:val="3BE70C49"/>
    <w:rsid w:val="3BE7142E"/>
    <w:rsid w:val="3BE92C13"/>
    <w:rsid w:val="3BEE647B"/>
    <w:rsid w:val="3BF8462F"/>
    <w:rsid w:val="3BF84C04"/>
    <w:rsid w:val="3C0637C5"/>
    <w:rsid w:val="3C081184"/>
    <w:rsid w:val="3C125CC6"/>
    <w:rsid w:val="3C2B2403"/>
    <w:rsid w:val="3C2B3A90"/>
    <w:rsid w:val="3C2D651B"/>
    <w:rsid w:val="3C3245BA"/>
    <w:rsid w:val="3C371BD0"/>
    <w:rsid w:val="3C3A5E97"/>
    <w:rsid w:val="3C3F15BA"/>
    <w:rsid w:val="3C410359"/>
    <w:rsid w:val="3C636DF2"/>
    <w:rsid w:val="3C6D55F2"/>
    <w:rsid w:val="3C6E2AD5"/>
    <w:rsid w:val="3C760652"/>
    <w:rsid w:val="3C771FCD"/>
    <w:rsid w:val="3C7B7D0F"/>
    <w:rsid w:val="3C821498"/>
    <w:rsid w:val="3C836BC3"/>
    <w:rsid w:val="3C926C30"/>
    <w:rsid w:val="3C9B3F0D"/>
    <w:rsid w:val="3C9C69E6"/>
    <w:rsid w:val="3C9F4BEE"/>
    <w:rsid w:val="3CA5658E"/>
    <w:rsid w:val="3CAA23A2"/>
    <w:rsid w:val="3CB10958"/>
    <w:rsid w:val="3CB47D74"/>
    <w:rsid w:val="3CB80EBB"/>
    <w:rsid w:val="3CBB3998"/>
    <w:rsid w:val="3CC01BC6"/>
    <w:rsid w:val="3CC0462F"/>
    <w:rsid w:val="3CC176EC"/>
    <w:rsid w:val="3CCB0256"/>
    <w:rsid w:val="3CD236A7"/>
    <w:rsid w:val="3CD72A6B"/>
    <w:rsid w:val="3CE11036"/>
    <w:rsid w:val="3CE5162C"/>
    <w:rsid w:val="3CE533DA"/>
    <w:rsid w:val="3CE81825"/>
    <w:rsid w:val="3CEF0B3D"/>
    <w:rsid w:val="3CF8135F"/>
    <w:rsid w:val="3CFE73CD"/>
    <w:rsid w:val="3D121CF5"/>
    <w:rsid w:val="3D163594"/>
    <w:rsid w:val="3D17214E"/>
    <w:rsid w:val="3D2263DC"/>
    <w:rsid w:val="3D324146"/>
    <w:rsid w:val="3D3305EA"/>
    <w:rsid w:val="3D335DE1"/>
    <w:rsid w:val="3D3C05D3"/>
    <w:rsid w:val="3D400A77"/>
    <w:rsid w:val="3D421203"/>
    <w:rsid w:val="3D453E79"/>
    <w:rsid w:val="3D472B15"/>
    <w:rsid w:val="3D4E0F7F"/>
    <w:rsid w:val="3D681BCB"/>
    <w:rsid w:val="3D6D1ABE"/>
    <w:rsid w:val="3D7048F2"/>
    <w:rsid w:val="3D7306A2"/>
    <w:rsid w:val="3D74475E"/>
    <w:rsid w:val="3D787CC9"/>
    <w:rsid w:val="3D7D7AB7"/>
    <w:rsid w:val="3D8449A1"/>
    <w:rsid w:val="3D8B21D4"/>
    <w:rsid w:val="3D93654B"/>
    <w:rsid w:val="3D983A85"/>
    <w:rsid w:val="3D993E1E"/>
    <w:rsid w:val="3D997C1C"/>
    <w:rsid w:val="3D9D1F07"/>
    <w:rsid w:val="3DA60DBB"/>
    <w:rsid w:val="3DA83401"/>
    <w:rsid w:val="3DAD2EDE"/>
    <w:rsid w:val="3DAE5EC2"/>
    <w:rsid w:val="3DB159B2"/>
    <w:rsid w:val="3DBB413B"/>
    <w:rsid w:val="3DBD6105"/>
    <w:rsid w:val="3DC2196D"/>
    <w:rsid w:val="3DC40CD9"/>
    <w:rsid w:val="3DC50D1B"/>
    <w:rsid w:val="3DC96858"/>
    <w:rsid w:val="3DD31825"/>
    <w:rsid w:val="3DD516A1"/>
    <w:rsid w:val="3DD6592F"/>
    <w:rsid w:val="3DD671C7"/>
    <w:rsid w:val="3DE43692"/>
    <w:rsid w:val="3DF17B5D"/>
    <w:rsid w:val="3DF63CF1"/>
    <w:rsid w:val="3DF8713D"/>
    <w:rsid w:val="3DFB059C"/>
    <w:rsid w:val="3DFC4E7F"/>
    <w:rsid w:val="3DFD0BDE"/>
    <w:rsid w:val="3E012496"/>
    <w:rsid w:val="3E021D6A"/>
    <w:rsid w:val="3E063608"/>
    <w:rsid w:val="3E150DEB"/>
    <w:rsid w:val="3E1A70B4"/>
    <w:rsid w:val="3E1C107E"/>
    <w:rsid w:val="3E233537"/>
    <w:rsid w:val="3E2B306F"/>
    <w:rsid w:val="3E356766"/>
    <w:rsid w:val="3E410AE4"/>
    <w:rsid w:val="3E444130"/>
    <w:rsid w:val="3E481542"/>
    <w:rsid w:val="3E5661DC"/>
    <w:rsid w:val="3E587BDC"/>
    <w:rsid w:val="3E5B6F4A"/>
    <w:rsid w:val="3E69432C"/>
    <w:rsid w:val="3E6D18D9"/>
    <w:rsid w:val="3E6D7C55"/>
    <w:rsid w:val="3E6F63C2"/>
    <w:rsid w:val="3E777221"/>
    <w:rsid w:val="3E7A2248"/>
    <w:rsid w:val="3E8759F1"/>
    <w:rsid w:val="3E9165F7"/>
    <w:rsid w:val="3E95247A"/>
    <w:rsid w:val="3E9C21BE"/>
    <w:rsid w:val="3EA0113F"/>
    <w:rsid w:val="3EA87CF1"/>
    <w:rsid w:val="3EB412B6"/>
    <w:rsid w:val="3EBF267E"/>
    <w:rsid w:val="3ECA0ADA"/>
    <w:rsid w:val="3ECD05CA"/>
    <w:rsid w:val="3ECF0E18"/>
    <w:rsid w:val="3ED50CA5"/>
    <w:rsid w:val="3ED84777"/>
    <w:rsid w:val="3EDC25BB"/>
    <w:rsid w:val="3EDE6333"/>
    <w:rsid w:val="3EDF3E59"/>
    <w:rsid w:val="3EE220CB"/>
    <w:rsid w:val="3EE6168C"/>
    <w:rsid w:val="3EE6343A"/>
    <w:rsid w:val="3EFB0C93"/>
    <w:rsid w:val="3EFD4C5C"/>
    <w:rsid w:val="3EFD65C9"/>
    <w:rsid w:val="3F0833B0"/>
    <w:rsid w:val="3F0B4C4E"/>
    <w:rsid w:val="3F0D09C6"/>
    <w:rsid w:val="3F0D4E6A"/>
    <w:rsid w:val="3F120BDC"/>
    <w:rsid w:val="3F12422F"/>
    <w:rsid w:val="3F174709"/>
    <w:rsid w:val="3F185CE9"/>
    <w:rsid w:val="3F2006FA"/>
    <w:rsid w:val="3F312907"/>
    <w:rsid w:val="3F3271BB"/>
    <w:rsid w:val="3F365ED2"/>
    <w:rsid w:val="3F397A0D"/>
    <w:rsid w:val="3F4168C2"/>
    <w:rsid w:val="3F473ED8"/>
    <w:rsid w:val="3F4A1635"/>
    <w:rsid w:val="3F5605BF"/>
    <w:rsid w:val="3F76360C"/>
    <w:rsid w:val="3F7E7C4C"/>
    <w:rsid w:val="3F7F10DC"/>
    <w:rsid w:val="3F820783"/>
    <w:rsid w:val="3F84512C"/>
    <w:rsid w:val="3F8B74A4"/>
    <w:rsid w:val="3F8C2233"/>
    <w:rsid w:val="3F8E1B07"/>
    <w:rsid w:val="3F8E7D59"/>
    <w:rsid w:val="3F964E60"/>
    <w:rsid w:val="3F9D1E1A"/>
    <w:rsid w:val="3F9F1F66"/>
    <w:rsid w:val="3FA03DA4"/>
    <w:rsid w:val="3FA550A3"/>
    <w:rsid w:val="3FAE21A9"/>
    <w:rsid w:val="3FB45B95"/>
    <w:rsid w:val="3FB6091C"/>
    <w:rsid w:val="3FB83028"/>
    <w:rsid w:val="3FBD419A"/>
    <w:rsid w:val="3FD15E98"/>
    <w:rsid w:val="3FD3181C"/>
    <w:rsid w:val="3FD87226"/>
    <w:rsid w:val="3FDA2F9E"/>
    <w:rsid w:val="3FEC0F24"/>
    <w:rsid w:val="3FEF631E"/>
    <w:rsid w:val="3FF76E4E"/>
    <w:rsid w:val="3FFB4CC3"/>
    <w:rsid w:val="3FFE6B66"/>
    <w:rsid w:val="4004626D"/>
    <w:rsid w:val="40096C3B"/>
    <w:rsid w:val="40155D85"/>
    <w:rsid w:val="401922C8"/>
    <w:rsid w:val="401F30A7"/>
    <w:rsid w:val="402406BD"/>
    <w:rsid w:val="40247A79"/>
    <w:rsid w:val="403F72A5"/>
    <w:rsid w:val="40447976"/>
    <w:rsid w:val="404D5FC2"/>
    <w:rsid w:val="404D6149"/>
    <w:rsid w:val="404E1296"/>
    <w:rsid w:val="405D772B"/>
    <w:rsid w:val="40630396"/>
    <w:rsid w:val="4063184A"/>
    <w:rsid w:val="40640ABA"/>
    <w:rsid w:val="40641A13"/>
    <w:rsid w:val="40642868"/>
    <w:rsid w:val="406B3BF6"/>
    <w:rsid w:val="407451A1"/>
    <w:rsid w:val="40776A3F"/>
    <w:rsid w:val="40786713"/>
    <w:rsid w:val="407C22A8"/>
    <w:rsid w:val="407F0969"/>
    <w:rsid w:val="40824763"/>
    <w:rsid w:val="40827192"/>
    <w:rsid w:val="408A0869"/>
    <w:rsid w:val="408B24EB"/>
    <w:rsid w:val="408E3D89"/>
    <w:rsid w:val="40952AB4"/>
    <w:rsid w:val="409C2D4C"/>
    <w:rsid w:val="409F5CF6"/>
    <w:rsid w:val="40A01882"/>
    <w:rsid w:val="40A52144"/>
    <w:rsid w:val="40B01F51"/>
    <w:rsid w:val="40B76E3C"/>
    <w:rsid w:val="40C17CBA"/>
    <w:rsid w:val="40C32B0B"/>
    <w:rsid w:val="40C357E1"/>
    <w:rsid w:val="40C477AB"/>
    <w:rsid w:val="40C61775"/>
    <w:rsid w:val="40C81580"/>
    <w:rsid w:val="40CD2B03"/>
    <w:rsid w:val="40CD5FA4"/>
    <w:rsid w:val="40CF23D7"/>
    <w:rsid w:val="40DC2D46"/>
    <w:rsid w:val="40E90FBF"/>
    <w:rsid w:val="40F005A0"/>
    <w:rsid w:val="40F24318"/>
    <w:rsid w:val="40F77B80"/>
    <w:rsid w:val="41076015"/>
    <w:rsid w:val="410A07A5"/>
    <w:rsid w:val="410C362B"/>
    <w:rsid w:val="410D4CAE"/>
    <w:rsid w:val="41175B2C"/>
    <w:rsid w:val="411B25FD"/>
    <w:rsid w:val="411E6EBB"/>
    <w:rsid w:val="412546ED"/>
    <w:rsid w:val="412817BF"/>
    <w:rsid w:val="41303855"/>
    <w:rsid w:val="41322966"/>
    <w:rsid w:val="4134747D"/>
    <w:rsid w:val="41362456"/>
    <w:rsid w:val="41363E94"/>
    <w:rsid w:val="41391F47"/>
    <w:rsid w:val="41392CC7"/>
    <w:rsid w:val="41452699"/>
    <w:rsid w:val="41466412"/>
    <w:rsid w:val="414C1C7A"/>
    <w:rsid w:val="414F52C6"/>
    <w:rsid w:val="41581200"/>
    <w:rsid w:val="415E375B"/>
    <w:rsid w:val="41605725"/>
    <w:rsid w:val="416F3BBA"/>
    <w:rsid w:val="41735459"/>
    <w:rsid w:val="417E204F"/>
    <w:rsid w:val="41807B75"/>
    <w:rsid w:val="4189672F"/>
    <w:rsid w:val="418C651A"/>
    <w:rsid w:val="41964B02"/>
    <w:rsid w:val="41984EBF"/>
    <w:rsid w:val="419E7FFC"/>
    <w:rsid w:val="419F644D"/>
    <w:rsid w:val="41A745CF"/>
    <w:rsid w:val="41B077CF"/>
    <w:rsid w:val="41B20F4B"/>
    <w:rsid w:val="41C52E83"/>
    <w:rsid w:val="41C932CA"/>
    <w:rsid w:val="41CA0DF1"/>
    <w:rsid w:val="41D34149"/>
    <w:rsid w:val="41D35EF7"/>
    <w:rsid w:val="41E023C2"/>
    <w:rsid w:val="41F14D2F"/>
    <w:rsid w:val="41F93484"/>
    <w:rsid w:val="41FB36A0"/>
    <w:rsid w:val="41FD4D22"/>
    <w:rsid w:val="42072A1C"/>
    <w:rsid w:val="42091D7F"/>
    <w:rsid w:val="421116EB"/>
    <w:rsid w:val="4214206C"/>
    <w:rsid w:val="421A3B26"/>
    <w:rsid w:val="421B33FA"/>
    <w:rsid w:val="42204EB5"/>
    <w:rsid w:val="422B5D33"/>
    <w:rsid w:val="42300D15"/>
    <w:rsid w:val="423C2277"/>
    <w:rsid w:val="423F17DF"/>
    <w:rsid w:val="424B0183"/>
    <w:rsid w:val="4250579A"/>
    <w:rsid w:val="42577E71"/>
    <w:rsid w:val="4278084D"/>
    <w:rsid w:val="427E2307"/>
    <w:rsid w:val="427F41A9"/>
    <w:rsid w:val="427F607F"/>
    <w:rsid w:val="42856D02"/>
    <w:rsid w:val="428F1411"/>
    <w:rsid w:val="429531AD"/>
    <w:rsid w:val="4296401C"/>
    <w:rsid w:val="429C09DF"/>
    <w:rsid w:val="429C1124"/>
    <w:rsid w:val="429D65A5"/>
    <w:rsid w:val="42A258CA"/>
    <w:rsid w:val="42A41642"/>
    <w:rsid w:val="42AB29D0"/>
    <w:rsid w:val="42B00A30"/>
    <w:rsid w:val="42BA0E65"/>
    <w:rsid w:val="42C8484E"/>
    <w:rsid w:val="42C96C6B"/>
    <w:rsid w:val="42D27F5D"/>
    <w:rsid w:val="42D7414F"/>
    <w:rsid w:val="42E303BC"/>
    <w:rsid w:val="42E45B26"/>
    <w:rsid w:val="42EF2FFB"/>
    <w:rsid w:val="42F00D2B"/>
    <w:rsid w:val="42F20DCB"/>
    <w:rsid w:val="43004FF6"/>
    <w:rsid w:val="43014CE6"/>
    <w:rsid w:val="43030902"/>
    <w:rsid w:val="430420E0"/>
    <w:rsid w:val="43095949"/>
    <w:rsid w:val="430D3E24"/>
    <w:rsid w:val="430F518E"/>
    <w:rsid w:val="43193DDE"/>
    <w:rsid w:val="431978DE"/>
    <w:rsid w:val="431C7A3B"/>
    <w:rsid w:val="432307B8"/>
    <w:rsid w:val="4328489C"/>
    <w:rsid w:val="433230F1"/>
    <w:rsid w:val="433720F1"/>
    <w:rsid w:val="43382AB1"/>
    <w:rsid w:val="434034BE"/>
    <w:rsid w:val="434A043B"/>
    <w:rsid w:val="434B5F61"/>
    <w:rsid w:val="435117C9"/>
    <w:rsid w:val="435326DA"/>
    <w:rsid w:val="435C016E"/>
    <w:rsid w:val="435C3F23"/>
    <w:rsid w:val="436239D7"/>
    <w:rsid w:val="43651660"/>
    <w:rsid w:val="436F39FE"/>
    <w:rsid w:val="438A4CDB"/>
    <w:rsid w:val="438F5E4E"/>
    <w:rsid w:val="43925E19"/>
    <w:rsid w:val="43972F54"/>
    <w:rsid w:val="43A05284"/>
    <w:rsid w:val="43A24A91"/>
    <w:rsid w:val="43A40AF2"/>
    <w:rsid w:val="43AE0724"/>
    <w:rsid w:val="43B96A7B"/>
    <w:rsid w:val="43BF2BD7"/>
    <w:rsid w:val="43C9668D"/>
    <w:rsid w:val="43CA50D8"/>
    <w:rsid w:val="43D163CE"/>
    <w:rsid w:val="43D9356D"/>
    <w:rsid w:val="43DA4BB1"/>
    <w:rsid w:val="43DC4CF8"/>
    <w:rsid w:val="43DF5653"/>
    <w:rsid w:val="43E32EF2"/>
    <w:rsid w:val="43EA1508"/>
    <w:rsid w:val="43FB1735"/>
    <w:rsid w:val="44030128"/>
    <w:rsid w:val="4404683C"/>
    <w:rsid w:val="44054362"/>
    <w:rsid w:val="44114AB5"/>
    <w:rsid w:val="44130575"/>
    <w:rsid w:val="4413082D"/>
    <w:rsid w:val="441647C1"/>
    <w:rsid w:val="441909AD"/>
    <w:rsid w:val="44213356"/>
    <w:rsid w:val="442E5667"/>
    <w:rsid w:val="44397937"/>
    <w:rsid w:val="443D37DF"/>
    <w:rsid w:val="443D7030"/>
    <w:rsid w:val="44421112"/>
    <w:rsid w:val="444529B0"/>
    <w:rsid w:val="44472BCC"/>
    <w:rsid w:val="4450382F"/>
    <w:rsid w:val="445873A3"/>
    <w:rsid w:val="445F3A72"/>
    <w:rsid w:val="4465195C"/>
    <w:rsid w:val="44654E01"/>
    <w:rsid w:val="44661919"/>
    <w:rsid w:val="44672F1A"/>
    <w:rsid w:val="4467501D"/>
    <w:rsid w:val="446B27DA"/>
    <w:rsid w:val="446F57B3"/>
    <w:rsid w:val="447B63D2"/>
    <w:rsid w:val="447F3D72"/>
    <w:rsid w:val="4485051C"/>
    <w:rsid w:val="44865F34"/>
    <w:rsid w:val="44872FC9"/>
    <w:rsid w:val="448750D5"/>
    <w:rsid w:val="44882FDB"/>
    <w:rsid w:val="44964820"/>
    <w:rsid w:val="449751F4"/>
    <w:rsid w:val="449D4C9D"/>
    <w:rsid w:val="44A91191"/>
    <w:rsid w:val="44AB6CB7"/>
    <w:rsid w:val="44B4311E"/>
    <w:rsid w:val="44BB002C"/>
    <w:rsid w:val="44BD10DE"/>
    <w:rsid w:val="44C62C1C"/>
    <w:rsid w:val="44E346A3"/>
    <w:rsid w:val="44EF695C"/>
    <w:rsid w:val="44F36AE8"/>
    <w:rsid w:val="45081BD1"/>
    <w:rsid w:val="45085EB8"/>
    <w:rsid w:val="45101A06"/>
    <w:rsid w:val="45154A79"/>
    <w:rsid w:val="451848C2"/>
    <w:rsid w:val="45214543"/>
    <w:rsid w:val="45237196"/>
    <w:rsid w:val="45244CBC"/>
    <w:rsid w:val="452A27D4"/>
    <w:rsid w:val="453727C7"/>
    <w:rsid w:val="453B25D8"/>
    <w:rsid w:val="453F6AF3"/>
    <w:rsid w:val="45464C32"/>
    <w:rsid w:val="454A2974"/>
    <w:rsid w:val="45501799"/>
    <w:rsid w:val="45525385"/>
    <w:rsid w:val="45541B0F"/>
    <w:rsid w:val="45575091"/>
    <w:rsid w:val="455F3E20"/>
    <w:rsid w:val="456450B8"/>
    <w:rsid w:val="456D0411"/>
    <w:rsid w:val="4574179F"/>
    <w:rsid w:val="457E261E"/>
    <w:rsid w:val="45800144"/>
    <w:rsid w:val="458A0FC3"/>
    <w:rsid w:val="458B7560"/>
    <w:rsid w:val="458E4A51"/>
    <w:rsid w:val="458F482B"/>
    <w:rsid w:val="458F6616"/>
    <w:rsid w:val="459021E4"/>
    <w:rsid w:val="45943BEF"/>
    <w:rsid w:val="45950DD3"/>
    <w:rsid w:val="45961716"/>
    <w:rsid w:val="45962A75"/>
    <w:rsid w:val="459B4F7E"/>
    <w:rsid w:val="459C1523"/>
    <w:rsid w:val="459C78D2"/>
    <w:rsid w:val="45A51597"/>
    <w:rsid w:val="45A831F7"/>
    <w:rsid w:val="45A90DDE"/>
    <w:rsid w:val="45AA3BA0"/>
    <w:rsid w:val="45AB3791"/>
    <w:rsid w:val="45C2075D"/>
    <w:rsid w:val="45C218AE"/>
    <w:rsid w:val="45CA13BF"/>
    <w:rsid w:val="45CC5E83"/>
    <w:rsid w:val="45D13D5A"/>
    <w:rsid w:val="45F8417E"/>
    <w:rsid w:val="45F91D99"/>
    <w:rsid w:val="46003033"/>
    <w:rsid w:val="460E39A2"/>
    <w:rsid w:val="460E6BA7"/>
    <w:rsid w:val="461F6BBA"/>
    <w:rsid w:val="462C7B1B"/>
    <w:rsid w:val="46445521"/>
    <w:rsid w:val="46454EEA"/>
    <w:rsid w:val="46492C2C"/>
    <w:rsid w:val="464949DA"/>
    <w:rsid w:val="464F5D68"/>
    <w:rsid w:val="46523D01"/>
    <w:rsid w:val="4652461A"/>
    <w:rsid w:val="465515D1"/>
    <w:rsid w:val="46565349"/>
    <w:rsid w:val="465B295F"/>
    <w:rsid w:val="46641814"/>
    <w:rsid w:val="46853538"/>
    <w:rsid w:val="46933EA7"/>
    <w:rsid w:val="469519CD"/>
    <w:rsid w:val="46957C1F"/>
    <w:rsid w:val="469814BD"/>
    <w:rsid w:val="469A4F5E"/>
    <w:rsid w:val="469C1979"/>
    <w:rsid w:val="46A95479"/>
    <w:rsid w:val="46AC27EB"/>
    <w:rsid w:val="46B3085E"/>
    <w:rsid w:val="46B5206F"/>
    <w:rsid w:val="46C878EA"/>
    <w:rsid w:val="46CC1167"/>
    <w:rsid w:val="46D00713"/>
    <w:rsid w:val="46DA7D28"/>
    <w:rsid w:val="46E00242"/>
    <w:rsid w:val="46E34F06"/>
    <w:rsid w:val="46EC53B7"/>
    <w:rsid w:val="46ED280D"/>
    <w:rsid w:val="46ED5A14"/>
    <w:rsid w:val="46EF4D27"/>
    <w:rsid w:val="46F30DEA"/>
    <w:rsid w:val="46F54B62"/>
    <w:rsid w:val="46F752D4"/>
    <w:rsid w:val="46FA2178"/>
    <w:rsid w:val="46FD57C4"/>
    <w:rsid w:val="470009EC"/>
    <w:rsid w:val="470A6787"/>
    <w:rsid w:val="470E352E"/>
    <w:rsid w:val="4714323A"/>
    <w:rsid w:val="47150D60"/>
    <w:rsid w:val="471825FE"/>
    <w:rsid w:val="471C71E0"/>
    <w:rsid w:val="471E7C15"/>
    <w:rsid w:val="472464E5"/>
    <w:rsid w:val="47264561"/>
    <w:rsid w:val="47264D1B"/>
    <w:rsid w:val="473471DC"/>
    <w:rsid w:val="47356D0C"/>
    <w:rsid w:val="473C0666"/>
    <w:rsid w:val="473D3E13"/>
    <w:rsid w:val="474451A1"/>
    <w:rsid w:val="474E26F7"/>
    <w:rsid w:val="475A411C"/>
    <w:rsid w:val="476310AA"/>
    <w:rsid w:val="476D46F8"/>
    <w:rsid w:val="477171DB"/>
    <w:rsid w:val="477261B2"/>
    <w:rsid w:val="47780323"/>
    <w:rsid w:val="477E06B3"/>
    <w:rsid w:val="477E4B57"/>
    <w:rsid w:val="47812B15"/>
    <w:rsid w:val="478D4316"/>
    <w:rsid w:val="478F0B12"/>
    <w:rsid w:val="47947ED7"/>
    <w:rsid w:val="47963B1F"/>
    <w:rsid w:val="47971775"/>
    <w:rsid w:val="47983DB5"/>
    <w:rsid w:val="479B74B7"/>
    <w:rsid w:val="47A81BD4"/>
    <w:rsid w:val="47C65C99"/>
    <w:rsid w:val="47CB7671"/>
    <w:rsid w:val="47D97FDF"/>
    <w:rsid w:val="47DC187E"/>
    <w:rsid w:val="47DD7AD0"/>
    <w:rsid w:val="47E21573"/>
    <w:rsid w:val="47E349BA"/>
    <w:rsid w:val="47E63536"/>
    <w:rsid w:val="47EB7EE8"/>
    <w:rsid w:val="47F6293F"/>
    <w:rsid w:val="47F92430"/>
    <w:rsid w:val="47F94765"/>
    <w:rsid w:val="47FE05D7"/>
    <w:rsid w:val="4800556C"/>
    <w:rsid w:val="48027536"/>
    <w:rsid w:val="48052B82"/>
    <w:rsid w:val="480C3F11"/>
    <w:rsid w:val="48111090"/>
    <w:rsid w:val="4819662E"/>
    <w:rsid w:val="481E59F2"/>
    <w:rsid w:val="4822715D"/>
    <w:rsid w:val="48270D4B"/>
    <w:rsid w:val="483F6AC4"/>
    <w:rsid w:val="48401F44"/>
    <w:rsid w:val="484025F0"/>
    <w:rsid w:val="48497300"/>
    <w:rsid w:val="485853A8"/>
    <w:rsid w:val="485E04E5"/>
    <w:rsid w:val="48671147"/>
    <w:rsid w:val="48693111"/>
    <w:rsid w:val="486B7606"/>
    <w:rsid w:val="486E697A"/>
    <w:rsid w:val="48733F90"/>
    <w:rsid w:val="487E032C"/>
    <w:rsid w:val="48834259"/>
    <w:rsid w:val="48923A9B"/>
    <w:rsid w:val="48945CB4"/>
    <w:rsid w:val="489B5295"/>
    <w:rsid w:val="489D725F"/>
    <w:rsid w:val="48A018E9"/>
    <w:rsid w:val="48A94357"/>
    <w:rsid w:val="48AB372A"/>
    <w:rsid w:val="48AE321A"/>
    <w:rsid w:val="48B20766"/>
    <w:rsid w:val="48BB76E5"/>
    <w:rsid w:val="48BC175E"/>
    <w:rsid w:val="48BE2C20"/>
    <w:rsid w:val="48C055EE"/>
    <w:rsid w:val="48C61658"/>
    <w:rsid w:val="48CE7418"/>
    <w:rsid w:val="48D04F3E"/>
    <w:rsid w:val="48D461F6"/>
    <w:rsid w:val="48E21116"/>
    <w:rsid w:val="48E768C7"/>
    <w:rsid w:val="48E94252"/>
    <w:rsid w:val="48F50E49"/>
    <w:rsid w:val="48F7696F"/>
    <w:rsid w:val="48FA020D"/>
    <w:rsid w:val="48FC21D7"/>
    <w:rsid w:val="490320DC"/>
    <w:rsid w:val="4905068C"/>
    <w:rsid w:val="490529C8"/>
    <w:rsid w:val="4910358D"/>
    <w:rsid w:val="491339E7"/>
    <w:rsid w:val="49247038"/>
    <w:rsid w:val="493411E2"/>
    <w:rsid w:val="493B7D23"/>
    <w:rsid w:val="49465201"/>
    <w:rsid w:val="494D658F"/>
    <w:rsid w:val="49513989"/>
    <w:rsid w:val="49584F34"/>
    <w:rsid w:val="49592BAD"/>
    <w:rsid w:val="49675177"/>
    <w:rsid w:val="4968161B"/>
    <w:rsid w:val="496B1FB0"/>
    <w:rsid w:val="496D09DF"/>
    <w:rsid w:val="49725893"/>
    <w:rsid w:val="497933EB"/>
    <w:rsid w:val="497B72B8"/>
    <w:rsid w:val="4985619D"/>
    <w:rsid w:val="49883A6B"/>
    <w:rsid w:val="4996306D"/>
    <w:rsid w:val="49995C78"/>
    <w:rsid w:val="499E0B17"/>
    <w:rsid w:val="49A46532"/>
    <w:rsid w:val="49AB4594"/>
    <w:rsid w:val="49AB5AC8"/>
    <w:rsid w:val="49AD34D2"/>
    <w:rsid w:val="49BA6EA8"/>
    <w:rsid w:val="49CC7DFC"/>
    <w:rsid w:val="49CD5922"/>
    <w:rsid w:val="49CF51F6"/>
    <w:rsid w:val="49D7054F"/>
    <w:rsid w:val="49D93529"/>
    <w:rsid w:val="49D942C7"/>
    <w:rsid w:val="49DE7B2F"/>
    <w:rsid w:val="49E40C3A"/>
    <w:rsid w:val="49EA2030"/>
    <w:rsid w:val="49FB3008"/>
    <w:rsid w:val="49FC1D63"/>
    <w:rsid w:val="4A021E4C"/>
    <w:rsid w:val="4A1433AF"/>
    <w:rsid w:val="4A233794"/>
    <w:rsid w:val="4A253068"/>
    <w:rsid w:val="4A2E2E00"/>
    <w:rsid w:val="4A360531"/>
    <w:rsid w:val="4A3A795F"/>
    <w:rsid w:val="4A443E36"/>
    <w:rsid w:val="4A45195C"/>
    <w:rsid w:val="4A484FA8"/>
    <w:rsid w:val="4A4E3E31"/>
    <w:rsid w:val="4A5A3216"/>
    <w:rsid w:val="4A657908"/>
    <w:rsid w:val="4A6C1BB7"/>
    <w:rsid w:val="4A6E674A"/>
    <w:rsid w:val="4A800BE6"/>
    <w:rsid w:val="4A8204BA"/>
    <w:rsid w:val="4A8C758B"/>
    <w:rsid w:val="4A9138C5"/>
    <w:rsid w:val="4A936D5A"/>
    <w:rsid w:val="4A9532A7"/>
    <w:rsid w:val="4A970798"/>
    <w:rsid w:val="4A9770A2"/>
    <w:rsid w:val="4A9D46FE"/>
    <w:rsid w:val="4AA3092D"/>
    <w:rsid w:val="4AAA689A"/>
    <w:rsid w:val="4AAD3D85"/>
    <w:rsid w:val="4AAF6DD6"/>
    <w:rsid w:val="4AB97C54"/>
    <w:rsid w:val="4ABB0F96"/>
    <w:rsid w:val="4ABB1C1E"/>
    <w:rsid w:val="4ABB45EA"/>
    <w:rsid w:val="4ABD7744"/>
    <w:rsid w:val="4AC46D25"/>
    <w:rsid w:val="4ACC6DEF"/>
    <w:rsid w:val="4AD77089"/>
    <w:rsid w:val="4AD8632C"/>
    <w:rsid w:val="4AD87A63"/>
    <w:rsid w:val="4ADD1B95"/>
    <w:rsid w:val="4ADF590D"/>
    <w:rsid w:val="4ADF76BB"/>
    <w:rsid w:val="4AE01685"/>
    <w:rsid w:val="4AE01F31"/>
    <w:rsid w:val="4AEC7BDC"/>
    <w:rsid w:val="4AEE5233"/>
    <w:rsid w:val="4AF313B8"/>
    <w:rsid w:val="4AF37BA8"/>
    <w:rsid w:val="4B022328"/>
    <w:rsid w:val="4B076C12"/>
    <w:rsid w:val="4B103D18"/>
    <w:rsid w:val="4B1B446B"/>
    <w:rsid w:val="4B413ED2"/>
    <w:rsid w:val="4B447E66"/>
    <w:rsid w:val="4B475260"/>
    <w:rsid w:val="4B481704"/>
    <w:rsid w:val="4B5C51AF"/>
    <w:rsid w:val="4B661B8A"/>
    <w:rsid w:val="4B6A5607"/>
    <w:rsid w:val="4B785A57"/>
    <w:rsid w:val="4B7F2C4C"/>
    <w:rsid w:val="4B813EB0"/>
    <w:rsid w:val="4B893881"/>
    <w:rsid w:val="4B8B15F1"/>
    <w:rsid w:val="4B9F32EE"/>
    <w:rsid w:val="4BA3693A"/>
    <w:rsid w:val="4BA45F7F"/>
    <w:rsid w:val="4BA83F51"/>
    <w:rsid w:val="4BAB68BE"/>
    <w:rsid w:val="4BBB2D6A"/>
    <w:rsid w:val="4BBB7216"/>
    <w:rsid w:val="4BBD5522"/>
    <w:rsid w:val="4BC3391C"/>
    <w:rsid w:val="4BCB5E91"/>
    <w:rsid w:val="4BCF1350"/>
    <w:rsid w:val="4BD034A7"/>
    <w:rsid w:val="4BD05255"/>
    <w:rsid w:val="4BD44D46"/>
    <w:rsid w:val="4BE62CCB"/>
    <w:rsid w:val="4BF54CBC"/>
    <w:rsid w:val="4BF76C86"/>
    <w:rsid w:val="4BF929FE"/>
    <w:rsid w:val="4C001FDF"/>
    <w:rsid w:val="4C02766B"/>
    <w:rsid w:val="4C15710C"/>
    <w:rsid w:val="4C1954BB"/>
    <w:rsid w:val="4C2368AC"/>
    <w:rsid w:val="4C285091"/>
    <w:rsid w:val="4C2A52EF"/>
    <w:rsid w:val="4C2F4E4F"/>
    <w:rsid w:val="4C325F10"/>
    <w:rsid w:val="4C3C5FC3"/>
    <w:rsid w:val="4C4A14AC"/>
    <w:rsid w:val="4C4A5008"/>
    <w:rsid w:val="4C5013F2"/>
    <w:rsid w:val="4C523EBC"/>
    <w:rsid w:val="4C5C55AD"/>
    <w:rsid w:val="4C5D21D5"/>
    <w:rsid w:val="4C6707F9"/>
    <w:rsid w:val="4C6E5295"/>
    <w:rsid w:val="4C716A38"/>
    <w:rsid w:val="4C76404F"/>
    <w:rsid w:val="4C7C718B"/>
    <w:rsid w:val="4C7E1155"/>
    <w:rsid w:val="4C8112F2"/>
    <w:rsid w:val="4C9642B2"/>
    <w:rsid w:val="4C970E98"/>
    <w:rsid w:val="4C982217"/>
    <w:rsid w:val="4C9D50C7"/>
    <w:rsid w:val="4CA02E7A"/>
    <w:rsid w:val="4CAC173D"/>
    <w:rsid w:val="4CB608EF"/>
    <w:rsid w:val="4CB6269D"/>
    <w:rsid w:val="4CB67A9B"/>
    <w:rsid w:val="4CBE3AA7"/>
    <w:rsid w:val="4CD11285"/>
    <w:rsid w:val="4CD15729"/>
    <w:rsid w:val="4CD43E75"/>
    <w:rsid w:val="4CDA19A5"/>
    <w:rsid w:val="4CDF3C83"/>
    <w:rsid w:val="4CDF7E46"/>
    <w:rsid w:val="4CE216E4"/>
    <w:rsid w:val="4CE54D31"/>
    <w:rsid w:val="4CE92A73"/>
    <w:rsid w:val="4CEA67EB"/>
    <w:rsid w:val="4CEE0B24"/>
    <w:rsid w:val="4CEE1C41"/>
    <w:rsid w:val="4CF44F18"/>
    <w:rsid w:val="4CFA5011"/>
    <w:rsid w:val="4CFD651E"/>
    <w:rsid w:val="4D0258E3"/>
    <w:rsid w:val="4D04165B"/>
    <w:rsid w:val="4D225F85"/>
    <w:rsid w:val="4D333CEE"/>
    <w:rsid w:val="4D3D2DBF"/>
    <w:rsid w:val="4D3E6C2C"/>
    <w:rsid w:val="4D4203D5"/>
    <w:rsid w:val="4D430511"/>
    <w:rsid w:val="4D447CA9"/>
    <w:rsid w:val="4D4B54DB"/>
    <w:rsid w:val="4D4E01F5"/>
    <w:rsid w:val="4D4E28D6"/>
    <w:rsid w:val="4D565C2E"/>
    <w:rsid w:val="4D5A262C"/>
    <w:rsid w:val="4D5D1FA5"/>
    <w:rsid w:val="4D5F4F1C"/>
    <w:rsid w:val="4D613A9A"/>
    <w:rsid w:val="4D697710"/>
    <w:rsid w:val="4D6B792C"/>
    <w:rsid w:val="4D6E11CA"/>
    <w:rsid w:val="4D7D1BC3"/>
    <w:rsid w:val="4D8764E7"/>
    <w:rsid w:val="4D8B3F74"/>
    <w:rsid w:val="4D8B56C7"/>
    <w:rsid w:val="4D8C3DEB"/>
    <w:rsid w:val="4D8E5540"/>
    <w:rsid w:val="4D9329DF"/>
    <w:rsid w:val="4D95772B"/>
    <w:rsid w:val="4D9B201E"/>
    <w:rsid w:val="4DA448D7"/>
    <w:rsid w:val="4DA56096"/>
    <w:rsid w:val="4DA70A60"/>
    <w:rsid w:val="4DAB5F7A"/>
    <w:rsid w:val="4DB12E65"/>
    <w:rsid w:val="4DB206DA"/>
    <w:rsid w:val="4DB40B3C"/>
    <w:rsid w:val="4DC808DA"/>
    <w:rsid w:val="4DCE1F8B"/>
    <w:rsid w:val="4DD423EE"/>
    <w:rsid w:val="4DD52DC8"/>
    <w:rsid w:val="4DD54DA5"/>
    <w:rsid w:val="4DDA5C7E"/>
    <w:rsid w:val="4DDE1B91"/>
    <w:rsid w:val="4DE35714"/>
    <w:rsid w:val="4DE90850"/>
    <w:rsid w:val="4DEB2AE6"/>
    <w:rsid w:val="4DEC54A2"/>
    <w:rsid w:val="4DEE257B"/>
    <w:rsid w:val="4DF0398D"/>
    <w:rsid w:val="4DF23BA9"/>
    <w:rsid w:val="4DF55447"/>
    <w:rsid w:val="4DF96CE5"/>
    <w:rsid w:val="4E0F558F"/>
    <w:rsid w:val="4E122358"/>
    <w:rsid w:val="4E127DA7"/>
    <w:rsid w:val="4E165AE9"/>
    <w:rsid w:val="4E19568C"/>
    <w:rsid w:val="4E1B0E2E"/>
    <w:rsid w:val="4E2234FC"/>
    <w:rsid w:val="4E2A50F1"/>
    <w:rsid w:val="4E30647F"/>
    <w:rsid w:val="4E337692"/>
    <w:rsid w:val="4E39531A"/>
    <w:rsid w:val="4E3E294A"/>
    <w:rsid w:val="4E42314D"/>
    <w:rsid w:val="4E467A51"/>
    <w:rsid w:val="4E485577"/>
    <w:rsid w:val="4E4B0E3C"/>
    <w:rsid w:val="4E4B78DC"/>
    <w:rsid w:val="4E4D260C"/>
    <w:rsid w:val="4E526C3C"/>
    <w:rsid w:val="4E5618F2"/>
    <w:rsid w:val="4E590B87"/>
    <w:rsid w:val="4E5C4359"/>
    <w:rsid w:val="4E5F42F3"/>
    <w:rsid w:val="4E612ADD"/>
    <w:rsid w:val="4E6F0D56"/>
    <w:rsid w:val="4E6F51FA"/>
    <w:rsid w:val="4E74636C"/>
    <w:rsid w:val="4E772300"/>
    <w:rsid w:val="4E910DA4"/>
    <w:rsid w:val="4E915170"/>
    <w:rsid w:val="4E93713A"/>
    <w:rsid w:val="4E9C58C3"/>
    <w:rsid w:val="4E9E662E"/>
    <w:rsid w:val="4EA07161"/>
    <w:rsid w:val="4EAC01FC"/>
    <w:rsid w:val="4EB250E6"/>
    <w:rsid w:val="4EB66985"/>
    <w:rsid w:val="4EC5306C"/>
    <w:rsid w:val="4EC66BB9"/>
    <w:rsid w:val="4EC85E49"/>
    <w:rsid w:val="4EC927B3"/>
    <w:rsid w:val="4ECD3CCE"/>
    <w:rsid w:val="4ED80FF1"/>
    <w:rsid w:val="4EE5709C"/>
    <w:rsid w:val="4EEA1BAA"/>
    <w:rsid w:val="4EEE25C2"/>
    <w:rsid w:val="4EFE7BE3"/>
    <w:rsid w:val="4F03120B"/>
    <w:rsid w:val="4F0A0A7E"/>
    <w:rsid w:val="4F0B3174"/>
    <w:rsid w:val="4F0E67C1"/>
    <w:rsid w:val="4F130CF7"/>
    <w:rsid w:val="4F1D07B2"/>
    <w:rsid w:val="4F277882"/>
    <w:rsid w:val="4F2A522D"/>
    <w:rsid w:val="4F2A6F7E"/>
    <w:rsid w:val="4F37489F"/>
    <w:rsid w:val="4F3B41B7"/>
    <w:rsid w:val="4F4421E2"/>
    <w:rsid w:val="4F471CD3"/>
    <w:rsid w:val="4F4F2935"/>
    <w:rsid w:val="4F5278CB"/>
    <w:rsid w:val="4F561F16"/>
    <w:rsid w:val="4F5663A6"/>
    <w:rsid w:val="4F5A37B4"/>
    <w:rsid w:val="4F5E7A81"/>
    <w:rsid w:val="4F6452D6"/>
    <w:rsid w:val="4F674123"/>
    <w:rsid w:val="4F7A5C04"/>
    <w:rsid w:val="4F99788D"/>
    <w:rsid w:val="4FA107F2"/>
    <w:rsid w:val="4FB72ED5"/>
    <w:rsid w:val="4FB76E58"/>
    <w:rsid w:val="4FB82BD0"/>
    <w:rsid w:val="4FC93278"/>
    <w:rsid w:val="4FCE7CFE"/>
    <w:rsid w:val="4FD03A76"/>
    <w:rsid w:val="4FD277EE"/>
    <w:rsid w:val="4FDF1C24"/>
    <w:rsid w:val="4FE439C5"/>
    <w:rsid w:val="4FE6773D"/>
    <w:rsid w:val="4FE92D8A"/>
    <w:rsid w:val="4FED4228"/>
    <w:rsid w:val="4FF206DD"/>
    <w:rsid w:val="4FF72031"/>
    <w:rsid w:val="4FF86249"/>
    <w:rsid w:val="4FFC0D0F"/>
    <w:rsid w:val="500D4EB3"/>
    <w:rsid w:val="50156F72"/>
    <w:rsid w:val="50167971"/>
    <w:rsid w:val="501A2F43"/>
    <w:rsid w:val="501E106D"/>
    <w:rsid w:val="50243DC2"/>
    <w:rsid w:val="50253A04"/>
    <w:rsid w:val="503135A1"/>
    <w:rsid w:val="503264DF"/>
    <w:rsid w:val="503415A0"/>
    <w:rsid w:val="503A35E5"/>
    <w:rsid w:val="50544866"/>
    <w:rsid w:val="505C355C"/>
    <w:rsid w:val="50610B72"/>
    <w:rsid w:val="506D3551"/>
    <w:rsid w:val="507B4264"/>
    <w:rsid w:val="50856264"/>
    <w:rsid w:val="5090545C"/>
    <w:rsid w:val="509C7DFC"/>
    <w:rsid w:val="50A56CB1"/>
    <w:rsid w:val="50AA2519"/>
    <w:rsid w:val="50AB7F7F"/>
    <w:rsid w:val="50AC6291"/>
    <w:rsid w:val="50B228F9"/>
    <w:rsid w:val="50C81FE6"/>
    <w:rsid w:val="50CF3D2E"/>
    <w:rsid w:val="50D774F1"/>
    <w:rsid w:val="50F10148"/>
    <w:rsid w:val="50F11EF6"/>
    <w:rsid w:val="50F67CD7"/>
    <w:rsid w:val="50FE0CB7"/>
    <w:rsid w:val="51022355"/>
    <w:rsid w:val="510C4F82"/>
    <w:rsid w:val="510C6D30"/>
    <w:rsid w:val="5110480D"/>
    <w:rsid w:val="5116195C"/>
    <w:rsid w:val="51181B78"/>
    <w:rsid w:val="511E5CB3"/>
    <w:rsid w:val="51234079"/>
    <w:rsid w:val="51254295"/>
    <w:rsid w:val="51295EAD"/>
    <w:rsid w:val="512F0C70"/>
    <w:rsid w:val="512F5729"/>
    <w:rsid w:val="513242BC"/>
    <w:rsid w:val="5133250E"/>
    <w:rsid w:val="51340035"/>
    <w:rsid w:val="51346287"/>
    <w:rsid w:val="513D439B"/>
    <w:rsid w:val="5144471C"/>
    <w:rsid w:val="51470FD5"/>
    <w:rsid w:val="5147420C"/>
    <w:rsid w:val="51480F25"/>
    <w:rsid w:val="51493AE0"/>
    <w:rsid w:val="51496357"/>
    <w:rsid w:val="514A5BAD"/>
    <w:rsid w:val="514E4FAD"/>
    <w:rsid w:val="51510BE7"/>
    <w:rsid w:val="51515016"/>
    <w:rsid w:val="515D0341"/>
    <w:rsid w:val="515D18CE"/>
    <w:rsid w:val="515D758B"/>
    <w:rsid w:val="51606CA5"/>
    <w:rsid w:val="51622F82"/>
    <w:rsid w:val="516721B8"/>
    <w:rsid w:val="516D3D99"/>
    <w:rsid w:val="518B19AE"/>
    <w:rsid w:val="51954F77"/>
    <w:rsid w:val="519A0650"/>
    <w:rsid w:val="51AB05F0"/>
    <w:rsid w:val="51AE10F4"/>
    <w:rsid w:val="51BA28A2"/>
    <w:rsid w:val="51C25640"/>
    <w:rsid w:val="51C804DD"/>
    <w:rsid w:val="51C969CF"/>
    <w:rsid w:val="51D07D5D"/>
    <w:rsid w:val="51D51818"/>
    <w:rsid w:val="51D535C6"/>
    <w:rsid w:val="51DD6BC9"/>
    <w:rsid w:val="51DF0FA7"/>
    <w:rsid w:val="51E67581"/>
    <w:rsid w:val="51E70FFE"/>
    <w:rsid w:val="51F223CA"/>
    <w:rsid w:val="51F779E0"/>
    <w:rsid w:val="51F85506"/>
    <w:rsid w:val="51FA74D0"/>
    <w:rsid w:val="51FF4AE6"/>
    <w:rsid w:val="52057C01"/>
    <w:rsid w:val="52067C23"/>
    <w:rsid w:val="521560B8"/>
    <w:rsid w:val="521F6F37"/>
    <w:rsid w:val="52290251"/>
    <w:rsid w:val="52295D9F"/>
    <w:rsid w:val="523209F0"/>
    <w:rsid w:val="52377DDC"/>
    <w:rsid w:val="523C53F3"/>
    <w:rsid w:val="52495D62"/>
    <w:rsid w:val="52497B10"/>
    <w:rsid w:val="525564B4"/>
    <w:rsid w:val="525C1145"/>
    <w:rsid w:val="525C7843"/>
    <w:rsid w:val="525D0267"/>
    <w:rsid w:val="525E35BB"/>
    <w:rsid w:val="525F19A5"/>
    <w:rsid w:val="52625478"/>
    <w:rsid w:val="52643C20"/>
    <w:rsid w:val="526606C2"/>
    <w:rsid w:val="52662470"/>
    <w:rsid w:val="5268268C"/>
    <w:rsid w:val="526D37FE"/>
    <w:rsid w:val="526F5493"/>
    <w:rsid w:val="527032EE"/>
    <w:rsid w:val="52777180"/>
    <w:rsid w:val="52785704"/>
    <w:rsid w:val="528A1ED5"/>
    <w:rsid w:val="5293012E"/>
    <w:rsid w:val="52960585"/>
    <w:rsid w:val="529A65BD"/>
    <w:rsid w:val="529F0F39"/>
    <w:rsid w:val="52A336C4"/>
    <w:rsid w:val="52B4142D"/>
    <w:rsid w:val="52B458D1"/>
    <w:rsid w:val="52B47467"/>
    <w:rsid w:val="52C553E8"/>
    <w:rsid w:val="52C764D4"/>
    <w:rsid w:val="52D03D8D"/>
    <w:rsid w:val="52DB10B0"/>
    <w:rsid w:val="52DB4C0C"/>
    <w:rsid w:val="52DC6BD6"/>
    <w:rsid w:val="52E41618"/>
    <w:rsid w:val="52E57838"/>
    <w:rsid w:val="52F263F9"/>
    <w:rsid w:val="52F400F5"/>
    <w:rsid w:val="52F448FA"/>
    <w:rsid w:val="52F73F17"/>
    <w:rsid w:val="52FB52AE"/>
    <w:rsid w:val="52FD3F6B"/>
    <w:rsid w:val="52FE08FA"/>
    <w:rsid w:val="532647CB"/>
    <w:rsid w:val="532760A3"/>
    <w:rsid w:val="532C190B"/>
    <w:rsid w:val="5334431C"/>
    <w:rsid w:val="53402FC3"/>
    <w:rsid w:val="534D53DE"/>
    <w:rsid w:val="534E6397"/>
    <w:rsid w:val="53634C01"/>
    <w:rsid w:val="5368642B"/>
    <w:rsid w:val="536C7562"/>
    <w:rsid w:val="536E534C"/>
    <w:rsid w:val="536F35A6"/>
    <w:rsid w:val="537B019D"/>
    <w:rsid w:val="537B60D8"/>
    <w:rsid w:val="53803A05"/>
    <w:rsid w:val="538057B3"/>
    <w:rsid w:val="53807561"/>
    <w:rsid w:val="53814550"/>
    <w:rsid w:val="538232D9"/>
    <w:rsid w:val="5382777D"/>
    <w:rsid w:val="538739F4"/>
    <w:rsid w:val="5392783E"/>
    <w:rsid w:val="53937294"/>
    <w:rsid w:val="539A4AC7"/>
    <w:rsid w:val="539D6365"/>
    <w:rsid w:val="539F3E8B"/>
    <w:rsid w:val="53A04DAC"/>
    <w:rsid w:val="53A83B6F"/>
    <w:rsid w:val="53AA04BD"/>
    <w:rsid w:val="53AD33B3"/>
    <w:rsid w:val="53BB15B1"/>
    <w:rsid w:val="53BD6EA5"/>
    <w:rsid w:val="53C252BC"/>
    <w:rsid w:val="53C438F2"/>
    <w:rsid w:val="53C80752"/>
    <w:rsid w:val="53C90F08"/>
    <w:rsid w:val="53CE29C2"/>
    <w:rsid w:val="53D457EE"/>
    <w:rsid w:val="53D77AC9"/>
    <w:rsid w:val="53D8739D"/>
    <w:rsid w:val="53DF09CD"/>
    <w:rsid w:val="53E73A84"/>
    <w:rsid w:val="53E775E0"/>
    <w:rsid w:val="53E93358"/>
    <w:rsid w:val="53EC78EE"/>
    <w:rsid w:val="53EE6BC1"/>
    <w:rsid w:val="53F11286"/>
    <w:rsid w:val="53F51CFD"/>
    <w:rsid w:val="54120B01"/>
    <w:rsid w:val="54177EC5"/>
    <w:rsid w:val="543177F1"/>
    <w:rsid w:val="54370568"/>
    <w:rsid w:val="543C0AB5"/>
    <w:rsid w:val="54435882"/>
    <w:rsid w:val="54447450"/>
    <w:rsid w:val="54451EC0"/>
    <w:rsid w:val="54481AB1"/>
    <w:rsid w:val="544F02D6"/>
    <w:rsid w:val="54501629"/>
    <w:rsid w:val="54532EC8"/>
    <w:rsid w:val="545509EE"/>
    <w:rsid w:val="54596730"/>
    <w:rsid w:val="545D5AF4"/>
    <w:rsid w:val="5461583B"/>
    <w:rsid w:val="54624E60"/>
    <w:rsid w:val="546E385E"/>
    <w:rsid w:val="54703A7A"/>
    <w:rsid w:val="54750FD3"/>
    <w:rsid w:val="54793075"/>
    <w:rsid w:val="547A48F8"/>
    <w:rsid w:val="547C0D3A"/>
    <w:rsid w:val="547F5A6B"/>
    <w:rsid w:val="5483555B"/>
    <w:rsid w:val="54837309"/>
    <w:rsid w:val="548804A7"/>
    <w:rsid w:val="548D0CAB"/>
    <w:rsid w:val="549C1469"/>
    <w:rsid w:val="54A11E85"/>
    <w:rsid w:val="54A12F58"/>
    <w:rsid w:val="54A30A3D"/>
    <w:rsid w:val="54A656ED"/>
    <w:rsid w:val="54A84FC1"/>
    <w:rsid w:val="54A86264"/>
    <w:rsid w:val="54A9545F"/>
    <w:rsid w:val="54B605FA"/>
    <w:rsid w:val="54BB2F47"/>
    <w:rsid w:val="54CA0F52"/>
    <w:rsid w:val="54CA7960"/>
    <w:rsid w:val="54D04518"/>
    <w:rsid w:val="54DD775A"/>
    <w:rsid w:val="54DF6509"/>
    <w:rsid w:val="54E40912"/>
    <w:rsid w:val="54ED50CA"/>
    <w:rsid w:val="54F900BC"/>
    <w:rsid w:val="54F9581D"/>
    <w:rsid w:val="54FC70BB"/>
    <w:rsid w:val="55050666"/>
    <w:rsid w:val="550A4F7C"/>
    <w:rsid w:val="550D751A"/>
    <w:rsid w:val="551268DF"/>
    <w:rsid w:val="55186DE5"/>
    <w:rsid w:val="55232D59"/>
    <w:rsid w:val="55234D95"/>
    <w:rsid w:val="552A3C28"/>
    <w:rsid w:val="552D3719"/>
    <w:rsid w:val="552E31B7"/>
    <w:rsid w:val="552F0471"/>
    <w:rsid w:val="55313209"/>
    <w:rsid w:val="55344AA7"/>
    <w:rsid w:val="55352AE2"/>
    <w:rsid w:val="555111B5"/>
    <w:rsid w:val="55545149"/>
    <w:rsid w:val="55575E7C"/>
    <w:rsid w:val="5564151E"/>
    <w:rsid w:val="55676C2B"/>
    <w:rsid w:val="55690BF5"/>
    <w:rsid w:val="55760C1C"/>
    <w:rsid w:val="558275C0"/>
    <w:rsid w:val="558570B1"/>
    <w:rsid w:val="559317CE"/>
    <w:rsid w:val="55A51501"/>
    <w:rsid w:val="55A531BA"/>
    <w:rsid w:val="55AC288F"/>
    <w:rsid w:val="55B17B55"/>
    <w:rsid w:val="55B856D8"/>
    <w:rsid w:val="55B921AE"/>
    <w:rsid w:val="55CC2F32"/>
    <w:rsid w:val="55D70935"/>
    <w:rsid w:val="55DB1CF4"/>
    <w:rsid w:val="55DD6EED"/>
    <w:rsid w:val="55DF025B"/>
    <w:rsid w:val="55E42029"/>
    <w:rsid w:val="55E738C7"/>
    <w:rsid w:val="55EA1ACA"/>
    <w:rsid w:val="55F04E72"/>
    <w:rsid w:val="55F10BEA"/>
    <w:rsid w:val="55F304BE"/>
    <w:rsid w:val="55F43F97"/>
    <w:rsid w:val="55F5323F"/>
    <w:rsid w:val="55F622D4"/>
    <w:rsid w:val="55FE388D"/>
    <w:rsid w:val="56064695"/>
    <w:rsid w:val="560C1580"/>
    <w:rsid w:val="560E70A6"/>
    <w:rsid w:val="561843C9"/>
    <w:rsid w:val="561B14C6"/>
    <w:rsid w:val="561C3883"/>
    <w:rsid w:val="56220DA3"/>
    <w:rsid w:val="56254BD2"/>
    <w:rsid w:val="562B2188"/>
    <w:rsid w:val="562C577E"/>
    <w:rsid w:val="56344A2D"/>
    <w:rsid w:val="56384123"/>
    <w:rsid w:val="563D0A7A"/>
    <w:rsid w:val="564E04B2"/>
    <w:rsid w:val="56551179"/>
    <w:rsid w:val="56574EF1"/>
    <w:rsid w:val="565A053D"/>
    <w:rsid w:val="565E2503"/>
    <w:rsid w:val="5660442A"/>
    <w:rsid w:val="567315FF"/>
    <w:rsid w:val="5683561C"/>
    <w:rsid w:val="56881EF5"/>
    <w:rsid w:val="568F6454"/>
    <w:rsid w:val="56950100"/>
    <w:rsid w:val="569972B8"/>
    <w:rsid w:val="569F23F4"/>
    <w:rsid w:val="56A33C92"/>
    <w:rsid w:val="56A96DCF"/>
    <w:rsid w:val="56AE0707"/>
    <w:rsid w:val="56B6146D"/>
    <w:rsid w:val="56B9366E"/>
    <w:rsid w:val="56C360E3"/>
    <w:rsid w:val="56C80EF4"/>
    <w:rsid w:val="56C85EF8"/>
    <w:rsid w:val="56CD4634"/>
    <w:rsid w:val="56D72E1C"/>
    <w:rsid w:val="56E66C7F"/>
    <w:rsid w:val="56F00EA2"/>
    <w:rsid w:val="56FA5260"/>
    <w:rsid w:val="56FF2E93"/>
    <w:rsid w:val="57032983"/>
    <w:rsid w:val="570D55B0"/>
    <w:rsid w:val="571132F2"/>
    <w:rsid w:val="571F1897"/>
    <w:rsid w:val="57234DD3"/>
    <w:rsid w:val="57236B81"/>
    <w:rsid w:val="572528F9"/>
    <w:rsid w:val="572D12F6"/>
    <w:rsid w:val="573072C0"/>
    <w:rsid w:val="57316401"/>
    <w:rsid w:val="57346B6E"/>
    <w:rsid w:val="5737262D"/>
    <w:rsid w:val="573B0F53"/>
    <w:rsid w:val="5748081E"/>
    <w:rsid w:val="574B7E86"/>
    <w:rsid w:val="57513011"/>
    <w:rsid w:val="57606370"/>
    <w:rsid w:val="57621579"/>
    <w:rsid w:val="57711FE2"/>
    <w:rsid w:val="577B3D89"/>
    <w:rsid w:val="577C69C8"/>
    <w:rsid w:val="57833AC4"/>
    <w:rsid w:val="578735B4"/>
    <w:rsid w:val="5789732C"/>
    <w:rsid w:val="57941164"/>
    <w:rsid w:val="579F6BBB"/>
    <w:rsid w:val="57AA72A2"/>
    <w:rsid w:val="57AC0FB4"/>
    <w:rsid w:val="57AC24CD"/>
    <w:rsid w:val="57B4000B"/>
    <w:rsid w:val="57B539F9"/>
    <w:rsid w:val="57B8696E"/>
    <w:rsid w:val="57BA5F6E"/>
    <w:rsid w:val="57BD0D84"/>
    <w:rsid w:val="57CA524F"/>
    <w:rsid w:val="57DE5C36"/>
    <w:rsid w:val="57E02CC4"/>
    <w:rsid w:val="57E53AFB"/>
    <w:rsid w:val="57F65106"/>
    <w:rsid w:val="57F873A0"/>
    <w:rsid w:val="57FB5FBA"/>
    <w:rsid w:val="57FD5624"/>
    <w:rsid w:val="5806097D"/>
    <w:rsid w:val="58077D1B"/>
    <w:rsid w:val="581B1F4E"/>
    <w:rsid w:val="58281A12"/>
    <w:rsid w:val="58346B6C"/>
    <w:rsid w:val="58354DBE"/>
    <w:rsid w:val="58366D88"/>
    <w:rsid w:val="5838665C"/>
    <w:rsid w:val="583C56D6"/>
    <w:rsid w:val="583D0117"/>
    <w:rsid w:val="583E0633"/>
    <w:rsid w:val="58410A77"/>
    <w:rsid w:val="58421289"/>
    <w:rsid w:val="584274DB"/>
    <w:rsid w:val="584C43A0"/>
    <w:rsid w:val="585039A6"/>
    <w:rsid w:val="58615BB3"/>
    <w:rsid w:val="586236D9"/>
    <w:rsid w:val="5865392A"/>
    <w:rsid w:val="586A78D6"/>
    <w:rsid w:val="58705DF6"/>
    <w:rsid w:val="58726012"/>
    <w:rsid w:val="58730A25"/>
    <w:rsid w:val="58737694"/>
    <w:rsid w:val="587F24DD"/>
    <w:rsid w:val="587F428B"/>
    <w:rsid w:val="58847AF3"/>
    <w:rsid w:val="588C0756"/>
    <w:rsid w:val="589324AE"/>
    <w:rsid w:val="58957160"/>
    <w:rsid w:val="5898534D"/>
    <w:rsid w:val="589C4E3D"/>
    <w:rsid w:val="589E4624"/>
    <w:rsid w:val="58A106A5"/>
    <w:rsid w:val="58AB3F87"/>
    <w:rsid w:val="58B02697"/>
    <w:rsid w:val="58B57CAD"/>
    <w:rsid w:val="58B63BA2"/>
    <w:rsid w:val="58BD4DB3"/>
    <w:rsid w:val="58BD5689"/>
    <w:rsid w:val="58CA7BFC"/>
    <w:rsid w:val="58D42EE9"/>
    <w:rsid w:val="59142C25"/>
    <w:rsid w:val="591946E0"/>
    <w:rsid w:val="5923730C"/>
    <w:rsid w:val="59246BE1"/>
    <w:rsid w:val="5932477C"/>
    <w:rsid w:val="59394B1F"/>
    <w:rsid w:val="593E5EF4"/>
    <w:rsid w:val="593F3A1A"/>
    <w:rsid w:val="5943350B"/>
    <w:rsid w:val="59462FFB"/>
    <w:rsid w:val="59473F17"/>
    <w:rsid w:val="594D6137"/>
    <w:rsid w:val="59514684"/>
    <w:rsid w:val="59545718"/>
    <w:rsid w:val="595474C6"/>
    <w:rsid w:val="59550FA6"/>
    <w:rsid w:val="595A2602"/>
    <w:rsid w:val="595E0345"/>
    <w:rsid w:val="596174A9"/>
    <w:rsid w:val="59710078"/>
    <w:rsid w:val="597E2B1B"/>
    <w:rsid w:val="598C47FC"/>
    <w:rsid w:val="599B50F5"/>
    <w:rsid w:val="59A55F73"/>
    <w:rsid w:val="59A85A64"/>
    <w:rsid w:val="59AF294E"/>
    <w:rsid w:val="59B270A2"/>
    <w:rsid w:val="59B94BE9"/>
    <w:rsid w:val="59BA6CC4"/>
    <w:rsid w:val="59C97EB4"/>
    <w:rsid w:val="59CA3C2C"/>
    <w:rsid w:val="59D5279A"/>
    <w:rsid w:val="59D8092D"/>
    <w:rsid w:val="59D81EA5"/>
    <w:rsid w:val="59D95C1D"/>
    <w:rsid w:val="59DE1485"/>
    <w:rsid w:val="59DE4FE1"/>
    <w:rsid w:val="59E30AA1"/>
    <w:rsid w:val="59EC5950"/>
    <w:rsid w:val="59F12F67"/>
    <w:rsid w:val="59F900F6"/>
    <w:rsid w:val="5A054C64"/>
    <w:rsid w:val="5A0E0E81"/>
    <w:rsid w:val="5A117165"/>
    <w:rsid w:val="5A1530F9"/>
    <w:rsid w:val="5A1A0B70"/>
    <w:rsid w:val="5A203D5A"/>
    <w:rsid w:val="5A225816"/>
    <w:rsid w:val="5A33357F"/>
    <w:rsid w:val="5A3840F9"/>
    <w:rsid w:val="5A3B68D8"/>
    <w:rsid w:val="5A3D6ADB"/>
    <w:rsid w:val="5A3E202C"/>
    <w:rsid w:val="5A3F0176"/>
    <w:rsid w:val="5A422B6B"/>
    <w:rsid w:val="5A5B2AD6"/>
    <w:rsid w:val="5A5C0D28"/>
    <w:rsid w:val="5A650866"/>
    <w:rsid w:val="5A6D4DC8"/>
    <w:rsid w:val="5A797AC8"/>
    <w:rsid w:val="5A7F0572"/>
    <w:rsid w:val="5A807A68"/>
    <w:rsid w:val="5A8A4156"/>
    <w:rsid w:val="5A8A48E2"/>
    <w:rsid w:val="5A9009D2"/>
    <w:rsid w:val="5A9034A7"/>
    <w:rsid w:val="5A9B4B84"/>
    <w:rsid w:val="5AAC50E0"/>
    <w:rsid w:val="5AB346C0"/>
    <w:rsid w:val="5AB55183"/>
    <w:rsid w:val="5ABD72ED"/>
    <w:rsid w:val="5ADD1EAF"/>
    <w:rsid w:val="5ADE2869"/>
    <w:rsid w:val="5ADF1011"/>
    <w:rsid w:val="5AE321F9"/>
    <w:rsid w:val="5AE91E90"/>
    <w:rsid w:val="5AF7469F"/>
    <w:rsid w:val="5AFA409D"/>
    <w:rsid w:val="5AFE4226"/>
    <w:rsid w:val="5B0D3DD0"/>
    <w:rsid w:val="5B12684E"/>
    <w:rsid w:val="5B13515F"/>
    <w:rsid w:val="5B16503A"/>
    <w:rsid w:val="5B174C4F"/>
    <w:rsid w:val="5B177826"/>
    <w:rsid w:val="5B1A473F"/>
    <w:rsid w:val="5B1E07EE"/>
    <w:rsid w:val="5B201C2D"/>
    <w:rsid w:val="5B24111A"/>
    <w:rsid w:val="5B2B06FA"/>
    <w:rsid w:val="5B2B4256"/>
    <w:rsid w:val="5B3E21DC"/>
    <w:rsid w:val="5B435A44"/>
    <w:rsid w:val="5B4973DB"/>
    <w:rsid w:val="5B4B2B4A"/>
    <w:rsid w:val="5B4C7D24"/>
    <w:rsid w:val="5B574C78"/>
    <w:rsid w:val="5B5E63DA"/>
    <w:rsid w:val="5B601D6D"/>
    <w:rsid w:val="5B714AE5"/>
    <w:rsid w:val="5B7756EE"/>
    <w:rsid w:val="5B781809"/>
    <w:rsid w:val="5B7A6F8C"/>
    <w:rsid w:val="5B7E7C0D"/>
    <w:rsid w:val="5B835E72"/>
    <w:rsid w:val="5B841BB9"/>
    <w:rsid w:val="5B863B83"/>
    <w:rsid w:val="5B8A0BEC"/>
    <w:rsid w:val="5B914A01"/>
    <w:rsid w:val="5B9608D0"/>
    <w:rsid w:val="5B984680"/>
    <w:rsid w:val="5B991B67"/>
    <w:rsid w:val="5B9C5154"/>
    <w:rsid w:val="5B9F76A3"/>
    <w:rsid w:val="5BA13276"/>
    <w:rsid w:val="5BA504AD"/>
    <w:rsid w:val="5BA74CD2"/>
    <w:rsid w:val="5BAC35E9"/>
    <w:rsid w:val="5BBC75A4"/>
    <w:rsid w:val="5BC36B85"/>
    <w:rsid w:val="5BC90981"/>
    <w:rsid w:val="5BC9770E"/>
    <w:rsid w:val="5BCB3ED8"/>
    <w:rsid w:val="5BCD355F"/>
    <w:rsid w:val="5BD71B75"/>
    <w:rsid w:val="5BD963A8"/>
    <w:rsid w:val="5BEA5EBF"/>
    <w:rsid w:val="5BED3C02"/>
    <w:rsid w:val="5BF03C12"/>
    <w:rsid w:val="5BFC5BF3"/>
    <w:rsid w:val="5C050C37"/>
    <w:rsid w:val="5C073A7F"/>
    <w:rsid w:val="5C0C22DA"/>
    <w:rsid w:val="5C2B595C"/>
    <w:rsid w:val="5C313AEE"/>
    <w:rsid w:val="5C341831"/>
    <w:rsid w:val="5C3E7830"/>
    <w:rsid w:val="5C425CFC"/>
    <w:rsid w:val="5C471564"/>
    <w:rsid w:val="5C545A2F"/>
    <w:rsid w:val="5C5617A7"/>
    <w:rsid w:val="5C5F68AD"/>
    <w:rsid w:val="5C611658"/>
    <w:rsid w:val="5C633385"/>
    <w:rsid w:val="5C735EB5"/>
    <w:rsid w:val="5C76637A"/>
    <w:rsid w:val="5C8400C2"/>
    <w:rsid w:val="5C910A31"/>
    <w:rsid w:val="5C9A5B38"/>
    <w:rsid w:val="5CA332A3"/>
    <w:rsid w:val="5CAB5675"/>
    <w:rsid w:val="5CAD36B6"/>
    <w:rsid w:val="5CAE75C8"/>
    <w:rsid w:val="5CAE79EE"/>
    <w:rsid w:val="5CB7726A"/>
    <w:rsid w:val="5CB84052"/>
    <w:rsid w:val="5CBD5382"/>
    <w:rsid w:val="5CC518CE"/>
    <w:rsid w:val="5CC826A5"/>
    <w:rsid w:val="5CCF4BF9"/>
    <w:rsid w:val="5CD64D27"/>
    <w:rsid w:val="5CD66444"/>
    <w:rsid w:val="5CD728E8"/>
    <w:rsid w:val="5CE24DE9"/>
    <w:rsid w:val="5CE26FEB"/>
    <w:rsid w:val="5CE42955"/>
    <w:rsid w:val="5CE63DA4"/>
    <w:rsid w:val="5CE97CE3"/>
    <w:rsid w:val="5CF3349A"/>
    <w:rsid w:val="5CF431AC"/>
    <w:rsid w:val="5CF55A11"/>
    <w:rsid w:val="5CFA0384"/>
    <w:rsid w:val="5CFB20F8"/>
    <w:rsid w:val="5CFD0562"/>
    <w:rsid w:val="5D06720B"/>
    <w:rsid w:val="5D086F45"/>
    <w:rsid w:val="5D0A5852"/>
    <w:rsid w:val="5D0D6309"/>
    <w:rsid w:val="5D137698"/>
    <w:rsid w:val="5D1839D2"/>
    <w:rsid w:val="5D347D3A"/>
    <w:rsid w:val="5D4E06D0"/>
    <w:rsid w:val="5D5C0FB3"/>
    <w:rsid w:val="5D6166D5"/>
    <w:rsid w:val="5D6E5996"/>
    <w:rsid w:val="5D79240E"/>
    <w:rsid w:val="5D812854"/>
    <w:rsid w:val="5D8365CC"/>
    <w:rsid w:val="5D8F6D1E"/>
    <w:rsid w:val="5D9B28C6"/>
    <w:rsid w:val="5D9E4A63"/>
    <w:rsid w:val="5DAA7FFC"/>
    <w:rsid w:val="5DAD3649"/>
    <w:rsid w:val="5DBE13B2"/>
    <w:rsid w:val="5DBE338B"/>
    <w:rsid w:val="5DC0337C"/>
    <w:rsid w:val="5DC56BE4"/>
    <w:rsid w:val="5DD010E5"/>
    <w:rsid w:val="5DD40BD5"/>
    <w:rsid w:val="5DD5494D"/>
    <w:rsid w:val="5DD80DC3"/>
    <w:rsid w:val="5DDB01B6"/>
    <w:rsid w:val="5DDB6408"/>
    <w:rsid w:val="5DDE3802"/>
    <w:rsid w:val="5DF644B6"/>
    <w:rsid w:val="5DFC6484"/>
    <w:rsid w:val="5E0105E4"/>
    <w:rsid w:val="5E0857A7"/>
    <w:rsid w:val="5E225DE5"/>
    <w:rsid w:val="5E231D6D"/>
    <w:rsid w:val="5E273216"/>
    <w:rsid w:val="5E282CCF"/>
    <w:rsid w:val="5E287173"/>
    <w:rsid w:val="5E2B3604"/>
    <w:rsid w:val="5E3873B6"/>
    <w:rsid w:val="5E3F63F7"/>
    <w:rsid w:val="5E563CE0"/>
    <w:rsid w:val="5E6837F3"/>
    <w:rsid w:val="5E6957C1"/>
    <w:rsid w:val="5E695FCC"/>
    <w:rsid w:val="5E6C4499"/>
    <w:rsid w:val="5E705439"/>
    <w:rsid w:val="5E7128C8"/>
    <w:rsid w:val="5E744166"/>
    <w:rsid w:val="5E765C43"/>
    <w:rsid w:val="5E8117C9"/>
    <w:rsid w:val="5E8C7702"/>
    <w:rsid w:val="5E8E347A"/>
    <w:rsid w:val="5E905E9A"/>
    <w:rsid w:val="5E914D18"/>
    <w:rsid w:val="5E93283E"/>
    <w:rsid w:val="5E9B5B97"/>
    <w:rsid w:val="5EA467FA"/>
    <w:rsid w:val="5EA762EA"/>
    <w:rsid w:val="5EAC3900"/>
    <w:rsid w:val="5EBF1885"/>
    <w:rsid w:val="5ECE3876"/>
    <w:rsid w:val="5ED2780B"/>
    <w:rsid w:val="5ED9267B"/>
    <w:rsid w:val="5EDF37B0"/>
    <w:rsid w:val="5EE17A4E"/>
    <w:rsid w:val="5EE33737"/>
    <w:rsid w:val="5EE4309A"/>
    <w:rsid w:val="5EE44CFF"/>
    <w:rsid w:val="5EF71BAD"/>
    <w:rsid w:val="5EF808F3"/>
    <w:rsid w:val="5F092B01"/>
    <w:rsid w:val="5F0E45BB"/>
    <w:rsid w:val="5F116624"/>
    <w:rsid w:val="5F160D3B"/>
    <w:rsid w:val="5F2357AC"/>
    <w:rsid w:val="5F245B8C"/>
    <w:rsid w:val="5F2C54A2"/>
    <w:rsid w:val="5F3764EB"/>
    <w:rsid w:val="5F3D09FC"/>
    <w:rsid w:val="5F3E01E8"/>
    <w:rsid w:val="5F4A7812"/>
    <w:rsid w:val="5F4F3B85"/>
    <w:rsid w:val="5F520B89"/>
    <w:rsid w:val="5F530220"/>
    <w:rsid w:val="5F552ED7"/>
    <w:rsid w:val="5F593A88"/>
    <w:rsid w:val="5F6441DB"/>
    <w:rsid w:val="5F6D72BA"/>
    <w:rsid w:val="5F6E628F"/>
    <w:rsid w:val="5F742670"/>
    <w:rsid w:val="5F830DD6"/>
    <w:rsid w:val="5F883D16"/>
    <w:rsid w:val="5F8D3732"/>
    <w:rsid w:val="5F9C1BC7"/>
    <w:rsid w:val="5F9E149B"/>
    <w:rsid w:val="5FA62A45"/>
    <w:rsid w:val="5FA840C8"/>
    <w:rsid w:val="5FAA39DF"/>
    <w:rsid w:val="5FAD406B"/>
    <w:rsid w:val="5FBC4017"/>
    <w:rsid w:val="5FBC6826"/>
    <w:rsid w:val="5FBF2669"/>
    <w:rsid w:val="5FC86518"/>
    <w:rsid w:val="5FC92290"/>
    <w:rsid w:val="5FD25605"/>
    <w:rsid w:val="5FDC78E1"/>
    <w:rsid w:val="5FE30448"/>
    <w:rsid w:val="5FE61094"/>
    <w:rsid w:val="5FEE5B44"/>
    <w:rsid w:val="5FF13CC0"/>
    <w:rsid w:val="5FF2491C"/>
    <w:rsid w:val="5FF53085"/>
    <w:rsid w:val="5FF5595D"/>
    <w:rsid w:val="5FFB4B3F"/>
    <w:rsid w:val="60025ECE"/>
    <w:rsid w:val="600B378A"/>
    <w:rsid w:val="601259E5"/>
    <w:rsid w:val="60150D5F"/>
    <w:rsid w:val="60161979"/>
    <w:rsid w:val="60172FFB"/>
    <w:rsid w:val="601D6342"/>
    <w:rsid w:val="60211B97"/>
    <w:rsid w:val="60215D53"/>
    <w:rsid w:val="60235E44"/>
    <w:rsid w:val="602A3E69"/>
    <w:rsid w:val="602D6CC3"/>
    <w:rsid w:val="603B318E"/>
    <w:rsid w:val="603C0E54"/>
    <w:rsid w:val="604069F6"/>
    <w:rsid w:val="604430C7"/>
    <w:rsid w:val="60455DBA"/>
    <w:rsid w:val="60457B68"/>
    <w:rsid w:val="60471B32"/>
    <w:rsid w:val="60483AFC"/>
    <w:rsid w:val="604A1623"/>
    <w:rsid w:val="604C539B"/>
    <w:rsid w:val="604C6788"/>
    <w:rsid w:val="604F09E7"/>
    <w:rsid w:val="605026B2"/>
    <w:rsid w:val="60762418"/>
    <w:rsid w:val="608A5EC3"/>
    <w:rsid w:val="60950994"/>
    <w:rsid w:val="60957AA4"/>
    <w:rsid w:val="609603C4"/>
    <w:rsid w:val="60980B77"/>
    <w:rsid w:val="60A96349"/>
    <w:rsid w:val="60B847DE"/>
    <w:rsid w:val="60B97D8F"/>
    <w:rsid w:val="60BA216D"/>
    <w:rsid w:val="60BF59C2"/>
    <w:rsid w:val="60CC2038"/>
    <w:rsid w:val="60DB3138"/>
    <w:rsid w:val="60DD45B9"/>
    <w:rsid w:val="60EA5F82"/>
    <w:rsid w:val="60EB4BB4"/>
    <w:rsid w:val="60F33A68"/>
    <w:rsid w:val="60F577E0"/>
    <w:rsid w:val="60FB291D"/>
    <w:rsid w:val="60FE069A"/>
    <w:rsid w:val="61070FC9"/>
    <w:rsid w:val="610E08A2"/>
    <w:rsid w:val="61111FBE"/>
    <w:rsid w:val="611D2893"/>
    <w:rsid w:val="611F2AAF"/>
    <w:rsid w:val="61265BEC"/>
    <w:rsid w:val="6129748A"/>
    <w:rsid w:val="612B536C"/>
    <w:rsid w:val="612E684E"/>
    <w:rsid w:val="613227E3"/>
    <w:rsid w:val="61357BDD"/>
    <w:rsid w:val="613A026E"/>
    <w:rsid w:val="613D2F35"/>
    <w:rsid w:val="61406582"/>
    <w:rsid w:val="615269E1"/>
    <w:rsid w:val="61532ACB"/>
    <w:rsid w:val="61534507"/>
    <w:rsid w:val="615A15A7"/>
    <w:rsid w:val="615A7643"/>
    <w:rsid w:val="615D4573"/>
    <w:rsid w:val="616C0B15"/>
    <w:rsid w:val="616C280F"/>
    <w:rsid w:val="616C793C"/>
    <w:rsid w:val="616D2D1F"/>
    <w:rsid w:val="618E553F"/>
    <w:rsid w:val="61A66D2D"/>
    <w:rsid w:val="61A82AA5"/>
    <w:rsid w:val="61AF3E33"/>
    <w:rsid w:val="61B16361"/>
    <w:rsid w:val="61B31169"/>
    <w:rsid w:val="61BE4076"/>
    <w:rsid w:val="61BF3FF8"/>
    <w:rsid w:val="61C5357E"/>
    <w:rsid w:val="61C97A25"/>
    <w:rsid w:val="61CA2A1B"/>
    <w:rsid w:val="61CF0031"/>
    <w:rsid w:val="61E37639"/>
    <w:rsid w:val="61E810F3"/>
    <w:rsid w:val="61EB489A"/>
    <w:rsid w:val="61ED04B8"/>
    <w:rsid w:val="61ED495B"/>
    <w:rsid w:val="61ED6709"/>
    <w:rsid w:val="61F318C0"/>
    <w:rsid w:val="61F53810"/>
    <w:rsid w:val="61F84262"/>
    <w:rsid w:val="621023F8"/>
    <w:rsid w:val="622019C2"/>
    <w:rsid w:val="622814F0"/>
    <w:rsid w:val="623B7475"/>
    <w:rsid w:val="62427D56"/>
    <w:rsid w:val="6243457B"/>
    <w:rsid w:val="62443A91"/>
    <w:rsid w:val="624A76B8"/>
    <w:rsid w:val="624C4EB5"/>
    <w:rsid w:val="624D71A8"/>
    <w:rsid w:val="62522A10"/>
    <w:rsid w:val="6252656D"/>
    <w:rsid w:val="625E13B5"/>
    <w:rsid w:val="62654124"/>
    <w:rsid w:val="626F5370"/>
    <w:rsid w:val="62726C0F"/>
    <w:rsid w:val="627666FF"/>
    <w:rsid w:val="62797F9D"/>
    <w:rsid w:val="62816E52"/>
    <w:rsid w:val="6283706E"/>
    <w:rsid w:val="628A3147"/>
    <w:rsid w:val="628D616C"/>
    <w:rsid w:val="62A32B16"/>
    <w:rsid w:val="62AF1C11"/>
    <w:rsid w:val="62B86D17"/>
    <w:rsid w:val="62C075B0"/>
    <w:rsid w:val="62C15852"/>
    <w:rsid w:val="62C236F2"/>
    <w:rsid w:val="62C332D8"/>
    <w:rsid w:val="62C96E47"/>
    <w:rsid w:val="62CF7BBD"/>
    <w:rsid w:val="62D1322E"/>
    <w:rsid w:val="62D174CE"/>
    <w:rsid w:val="62D3168C"/>
    <w:rsid w:val="62D4425D"/>
    <w:rsid w:val="62D60F4C"/>
    <w:rsid w:val="62D82F16"/>
    <w:rsid w:val="62DA4EE0"/>
    <w:rsid w:val="62DB2A06"/>
    <w:rsid w:val="62E0626E"/>
    <w:rsid w:val="62E11ADB"/>
    <w:rsid w:val="62E853D0"/>
    <w:rsid w:val="62EC4C13"/>
    <w:rsid w:val="62EF64B1"/>
    <w:rsid w:val="62F12229"/>
    <w:rsid w:val="62F27950"/>
    <w:rsid w:val="62F31BF5"/>
    <w:rsid w:val="62F53AC8"/>
    <w:rsid w:val="62F554A5"/>
    <w:rsid w:val="62F92E8C"/>
    <w:rsid w:val="62FB4E56"/>
    <w:rsid w:val="62FF66F4"/>
    <w:rsid w:val="630755A9"/>
    <w:rsid w:val="631B1054"/>
    <w:rsid w:val="631C13C1"/>
    <w:rsid w:val="632443AD"/>
    <w:rsid w:val="632919C3"/>
    <w:rsid w:val="632B74E9"/>
    <w:rsid w:val="632E6FDA"/>
    <w:rsid w:val="632F791D"/>
    <w:rsid w:val="63332842"/>
    <w:rsid w:val="63360306"/>
    <w:rsid w:val="633640E0"/>
    <w:rsid w:val="633F11E7"/>
    <w:rsid w:val="63424833"/>
    <w:rsid w:val="634405AB"/>
    <w:rsid w:val="6347467D"/>
    <w:rsid w:val="634C3904"/>
    <w:rsid w:val="636563C7"/>
    <w:rsid w:val="63760A8D"/>
    <w:rsid w:val="637B1AF3"/>
    <w:rsid w:val="638D1F52"/>
    <w:rsid w:val="638F1494"/>
    <w:rsid w:val="63913F53"/>
    <w:rsid w:val="63957059"/>
    <w:rsid w:val="63A12980"/>
    <w:rsid w:val="63A13A48"/>
    <w:rsid w:val="63A23524"/>
    <w:rsid w:val="63A25979"/>
    <w:rsid w:val="63A4729C"/>
    <w:rsid w:val="63B2759E"/>
    <w:rsid w:val="63B95393"/>
    <w:rsid w:val="63C22505"/>
    <w:rsid w:val="63C82F8A"/>
    <w:rsid w:val="63DE27AE"/>
    <w:rsid w:val="63E15DFA"/>
    <w:rsid w:val="63E61662"/>
    <w:rsid w:val="63EE0517"/>
    <w:rsid w:val="63F84A67"/>
    <w:rsid w:val="63F94DAE"/>
    <w:rsid w:val="63FA3360"/>
    <w:rsid w:val="64085A7D"/>
    <w:rsid w:val="64147EDE"/>
    <w:rsid w:val="641B24FC"/>
    <w:rsid w:val="641C5084"/>
    <w:rsid w:val="641F6922"/>
    <w:rsid w:val="642223CF"/>
    <w:rsid w:val="642E7C43"/>
    <w:rsid w:val="643C1282"/>
    <w:rsid w:val="64412D3D"/>
    <w:rsid w:val="644665A5"/>
    <w:rsid w:val="644D348F"/>
    <w:rsid w:val="644E49FD"/>
    <w:rsid w:val="64504D2E"/>
    <w:rsid w:val="64590086"/>
    <w:rsid w:val="645A795A"/>
    <w:rsid w:val="6468132B"/>
    <w:rsid w:val="646A497D"/>
    <w:rsid w:val="64740A1C"/>
    <w:rsid w:val="64833CCD"/>
    <w:rsid w:val="64917820"/>
    <w:rsid w:val="64A07A63"/>
    <w:rsid w:val="64A86918"/>
    <w:rsid w:val="64AC465A"/>
    <w:rsid w:val="64AD2180"/>
    <w:rsid w:val="64B27796"/>
    <w:rsid w:val="64BC23C3"/>
    <w:rsid w:val="64BE25DF"/>
    <w:rsid w:val="64C574CA"/>
    <w:rsid w:val="64CF20F6"/>
    <w:rsid w:val="64D03BF7"/>
    <w:rsid w:val="64D23995"/>
    <w:rsid w:val="64D4595F"/>
    <w:rsid w:val="64DA6254"/>
    <w:rsid w:val="64E37995"/>
    <w:rsid w:val="64E75692"/>
    <w:rsid w:val="64FF1A82"/>
    <w:rsid w:val="65101207"/>
    <w:rsid w:val="651A5A67"/>
    <w:rsid w:val="651A605F"/>
    <w:rsid w:val="652E32C1"/>
    <w:rsid w:val="6530528B"/>
    <w:rsid w:val="6535464F"/>
    <w:rsid w:val="65403C5D"/>
    <w:rsid w:val="65446953"/>
    <w:rsid w:val="65493C57"/>
    <w:rsid w:val="654E3963"/>
    <w:rsid w:val="654E7434"/>
    <w:rsid w:val="65555212"/>
    <w:rsid w:val="65577329"/>
    <w:rsid w:val="655F1E1A"/>
    <w:rsid w:val="65652A5B"/>
    <w:rsid w:val="656D30DA"/>
    <w:rsid w:val="657F1D6E"/>
    <w:rsid w:val="6582360D"/>
    <w:rsid w:val="65864EAB"/>
    <w:rsid w:val="65896749"/>
    <w:rsid w:val="659550EE"/>
    <w:rsid w:val="65A60391"/>
    <w:rsid w:val="65AD4482"/>
    <w:rsid w:val="65B37C6A"/>
    <w:rsid w:val="65B6655E"/>
    <w:rsid w:val="65BD2897"/>
    <w:rsid w:val="65C504AF"/>
    <w:rsid w:val="65D04378"/>
    <w:rsid w:val="65D33E68"/>
    <w:rsid w:val="65D9039F"/>
    <w:rsid w:val="65DC5124"/>
    <w:rsid w:val="65E240AB"/>
    <w:rsid w:val="65E572DC"/>
    <w:rsid w:val="65EF593A"/>
    <w:rsid w:val="65F362B8"/>
    <w:rsid w:val="65FE0EE5"/>
    <w:rsid w:val="660364FC"/>
    <w:rsid w:val="660404C6"/>
    <w:rsid w:val="66044022"/>
    <w:rsid w:val="66067D0F"/>
    <w:rsid w:val="660D77BE"/>
    <w:rsid w:val="660F20DE"/>
    <w:rsid w:val="662B4B1F"/>
    <w:rsid w:val="662B7800"/>
    <w:rsid w:val="66304E17"/>
    <w:rsid w:val="66344907"/>
    <w:rsid w:val="66377F53"/>
    <w:rsid w:val="664137DA"/>
    <w:rsid w:val="665C20B0"/>
    <w:rsid w:val="66644C16"/>
    <w:rsid w:val="666A657B"/>
    <w:rsid w:val="666F3F78"/>
    <w:rsid w:val="66755445"/>
    <w:rsid w:val="667E3DD4"/>
    <w:rsid w:val="668D2269"/>
    <w:rsid w:val="66925AD1"/>
    <w:rsid w:val="66A001EE"/>
    <w:rsid w:val="66A3383B"/>
    <w:rsid w:val="66AF3A6A"/>
    <w:rsid w:val="66B15B81"/>
    <w:rsid w:val="66BD4D5F"/>
    <w:rsid w:val="66C13CC1"/>
    <w:rsid w:val="66C814F3"/>
    <w:rsid w:val="66D41CA7"/>
    <w:rsid w:val="66E71979"/>
    <w:rsid w:val="66F37912"/>
    <w:rsid w:val="66F66060"/>
    <w:rsid w:val="66F81DD8"/>
    <w:rsid w:val="66FA39C2"/>
    <w:rsid w:val="66FD4E84"/>
    <w:rsid w:val="670D6F06"/>
    <w:rsid w:val="671B5AC7"/>
    <w:rsid w:val="671B5EFB"/>
    <w:rsid w:val="67204E8B"/>
    <w:rsid w:val="672C55DE"/>
    <w:rsid w:val="673F0F3C"/>
    <w:rsid w:val="67483A51"/>
    <w:rsid w:val="674C7A2E"/>
    <w:rsid w:val="67544B35"/>
    <w:rsid w:val="675D60DF"/>
    <w:rsid w:val="67606039"/>
    <w:rsid w:val="676C1E7F"/>
    <w:rsid w:val="6770699E"/>
    <w:rsid w:val="67766731"/>
    <w:rsid w:val="677D0530"/>
    <w:rsid w:val="67851192"/>
    <w:rsid w:val="678E7EE6"/>
    <w:rsid w:val="679A69EC"/>
    <w:rsid w:val="679C6C08"/>
    <w:rsid w:val="679F02B4"/>
    <w:rsid w:val="67BD6B7E"/>
    <w:rsid w:val="67BF28F6"/>
    <w:rsid w:val="67C473FE"/>
    <w:rsid w:val="67D04DBA"/>
    <w:rsid w:val="67D162EE"/>
    <w:rsid w:val="67D27562"/>
    <w:rsid w:val="67DC130D"/>
    <w:rsid w:val="67E97973"/>
    <w:rsid w:val="67EB5499"/>
    <w:rsid w:val="67F60DFC"/>
    <w:rsid w:val="67F81964"/>
    <w:rsid w:val="67F87687"/>
    <w:rsid w:val="67FA392E"/>
    <w:rsid w:val="67FA4DDD"/>
    <w:rsid w:val="67FD341E"/>
    <w:rsid w:val="6802661D"/>
    <w:rsid w:val="680A383B"/>
    <w:rsid w:val="681349F0"/>
    <w:rsid w:val="681A3FD0"/>
    <w:rsid w:val="681A5D7E"/>
    <w:rsid w:val="681C5653"/>
    <w:rsid w:val="682D5AB2"/>
    <w:rsid w:val="682E5386"/>
    <w:rsid w:val="682F27F9"/>
    <w:rsid w:val="683055A2"/>
    <w:rsid w:val="68352BB8"/>
    <w:rsid w:val="68356C86"/>
    <w:rsid w:val="68391019"/>
    <w:rsid w:val="683A0C71"/>
    <w:rsid w:val="683B60E3"/>
    <w:rsid w:val="683C5CF5"/>
    <w:rsid w:val="683F7593"/>
    <w:rsid w:val="68401F12"/>
    <w:rsid w:val="68430E58"/>
    <w:rsid w:val="68437083"/>
    <w:rsid w:val="68461546"/>
    <w:rsid w:val="684D3A5E"/>
    <w:rsid w:val="685079F2"/>
    <w:rsid w:val="68572B2F"/>
    <w:rsid w:val="685748DD"/>
    <w:rsid w:val="685A261F"/>
    <w:rsid w:val="685B1A9D"/>
    <w:rsid w:val="685B526A"/>
    <w:rsid w:val="686D76FB"/>
    <w:rsid w:val="686E0774"/>
    <w:rsid w:val="686F60CA"/>
    <w:rsid w:val="687C08D4"/>
    <w:rsid w:val="687C77A1"/>
    <w:rsid w:val="687D2CDD"/>
    <w:rsid w:val="687E455F"/>
    <w:rsid w:val="687F7C3A"/>
    <w:rsid w:val="687F7DF0"/>
    <w:rsid w:val="68815074"/>
    <w:rsid w:val="688651C2"/>
    <w:rsid w:val="688B0A2A"/>
    <w:rsid w:val="688D47A2"/>
    <w:rsid w:val="688E7F81"/>
    <w:rsid w:val="68955405"/>
    <w:rsid w:val="689C682D"/>
    <w:rsid w:val="689F6284"/>
    <w:rsid w:val="68B57725"/>
    <w:rsid w:val="68B63B95"/>
    <w:rsid w:val="68D26659"/>
    <w:rsid w:val="68D54DA6"/>
    <w:rsid w:val="68D82A6E"/>
    <w:rsid w:val="68E343C2"/>
    <w:rsid w:val="68EC771B"/>
    <w:rsid w:val="68FD36D6"/>
    <w:rsid w:val="691578F4"/>
    <w:rsid w:val="691A195A"/>
    <w:rsid w:val="691D32BA"/>
    <w:rsid w:val="691E53FA"/>
    <w:rsid w:val="69205616"/>
    <w:rsid w:val="692E7D33"/>
    <w:rsid w:val="6934747A"/>
    <w:rsid w:val="693B5FAC"/>
    <w:rsid w:val="693F6886"/>
    <w:rsid w:val="694766FF"/>
    <w:rsid w:val="694A37F8"/>
    <w:rsid w:val="694C01BA"/>
    <w:rsid w:val="69532A03"/>
    <w:rsid w:val="695E52C5"/>
    <w:rsid w:val="69623539"/>
    <w:rsid w:val="69656B2B"/>
    <w:rsid w:val="696E0130"/>
    <w:rsid w:val="69715E72"/>
    <w:rsid w:val="6974326C"/>
    <w:rsid w:val="69756ACB"/>
    <w:rsid w:val="69787200"/>
    <w:rsid w:val="697F058F"/>
    <w:rsid w:val="6983090D"/>
    <w:rsid w:val="69855479"/>
    <w:rsid w:val="698C2CAC"/>
    <w:rsid w:val="698E4C21"/>
    <w:rsid w:val="69944F9A"/>
    <w:rsid w:val="699D27C3"/>
    <w:rsid w:val="69A2602B"/>
    <w:rsid w:val="69A319F1"/>
    <w:rsid w:val="69A47FF6"/>
    <w:rsid w:val="69A973BA"/>
    <w:rsid w:val="69AE2C22"/>
    <w:rsid w:val="69AF24F6"/>
    <w:rsid w:val="69B0084D"/>
    <w:rsid w:val="69B93069"/>
    <w:rsid w:val="69CA10DE"/>
    <w:rsid w:val="69E623BC"/>
    <w:rsid w:val="69E76134"/>
    <w:rsid w:val="69EE74C3"/>
    <w:rsid w:val="69FF1774"/>
    <w:rsid w:val="6A0445F0"/>
    <w:rsid w:val="6A1F767C"/>
    <w:rsid w:val="6A2C58F8"/>
    <w:rsid w:val="6A2E3D63"/>
    <w:rsid w:val="6A2E5C82"/>
    <w:rsid w:val="6A333127"/>
    <w:rsid w:val="6A372C18"/>
    <w:rsid w:val="6A3B3D8A"/>
    <w:rsid w:val="6A3F31A8"/>
    <w:rsid w:val="6A4813FA"/>
    <w:rsid w:val="6A521AF2"/>
    <w:rsid w:val="6A537326"/>
    <w:rsid w:val="6A5968F0"/>
    <w:rsid w:val="6A5A4F50"/>
    <w:rsid w:val="6A5C603F"/>
    <w:rsid w:val="6A604000"/>
    <w:rsid w:val="6A647492"/>
    <w:rsid w:val="6A681023"/>
    <w:rsid w:val="6A6908F7"/>
    <w:rsid w:val="6A6B466F"/>
    <w:rsid w:val="6A6D488B"/>
    <w:rsid w:val="6A7174D7"/>
    <w:rsid w:val="6A773014"/>
    <w:rsid w:val="6A7A48B2"/>
    <w:rsid w:val="6A7D43CD"/>
    <w:rsid w:val="6A837C0B"/>
    <w:rsid w:val="6A8D6CDC"/>
    <w:rsid w:val="6A9516EC"/>
    <w:rsid w:val="6A957DEB"/>
    <w:rsid w:val="6A971908"/>
    <w:rsid w:val="6A9736B6"/>
    <w:rsid w:val="6AA4553C"/>
    <w:rsid w:val="6AA656A7"/>
    <w:rsid w:val="6AA66AB5"/>
    <w:rsid w:val="6AAF0798"/>
    <w:rsid w:val="6ABA1153"/>
    <w:rsid w:val="6ABE162F"/>
    <w:rsid w:val="6AC63F9C"/>
    <w:rsid w:val="6ACE6451"/>
    <w:rsid w:val="6AD05083"/>
    <w:rsid w:val="6ADF6E0B"/>
    <w:rsid w:val="6AE51423"/>
    <w:rsid w:val="6AE52674"/>
    <w:rsid w:val="6AF44665"/>
    <w:rsid w:val="6AF503DD"/>
    <w:rsid w:val="6AFB0AEC"/>
    <w:rsid w:val="6B013226"/>
    <w:rsid w:val="6B0267AD"/>
    <w:rsid w:val="6B11479D"/>
    <w:rsid w:val="6B1336F4"/>
    <w:rsid w:val="6B190727"/>
    <w:rsid w:val="6B1932FD"/>
    <w:rsid w:val="6B1B6095"/>
    <w:rsid w:val="6B263CCE"/>
    <w:rsid w:val="6B282560"/>
    <w:rsid w:val="6B2E2D35"/>
    <w:rsid w:val="6B4875F4"/>
    <w:rsid w:val="6B4A0729"/>
    <w:rsid w:val="6B4B23F5"/>
    <w:rsid w:val="6B52582F"/>
    <w:rsid w:val="6B55297C"/>
    <w:rsid w:val="6B593A7B"/>
    <w:rsid w:val="6B5C045C"/>
    <w:rsid w:val="6B610780"/>
    <w:rsid w:val="6B657311"/>
    <w:rsid w:val="6B6B0204"/>
    <w:rsid w:val="6B741C4A"/>
    <w:rsid w:val="6B7519B8"/>
    <w:rsid w:val="6B7F7BA4"/>
    <w:rsid w:val="6B87197D"/>
    <w:rsid w:val="6B881251"/>
    <w:rsid w:val="6B895757"/>
    <w:rsid w:val="6B8960A3"/>
    <w:rsid w:val="6B8C6F93"/>
    <w:rsid w:val="6B8E4AB9"/>
    <w:rsid w:val="6B9B0F84"/>
    <w:rsid w:val="6BB52AF5"/>
    <w:rsid w:val="6BB64010"/>
    <w:rsid w:val="6BB8096A"/>
    <w:rsid w:val="6BBA3B00"/>
    <w:rsid w:val="6BE47003"/>
    <w:rsid w:val="6BEC17E0"/>
    <w:rsid w:val="6BEC358E"/>
    <w:rsid w:val="6BFF201A"/>
    <w:rsid w:val="6C016886"/>
    <w:rsid w:val="6C276CBC"/>
    <w:rsid w:val="6C2A600D"/>
    <w:rsid w:val="6C417D7E"/>
    <w:rsid w:val="6C467142"/>
    <w:rsid w:val="6C485247"/>
    <w:rsid w:val="6C5463DB"/>
    <w:rsid w:val="6C5F3229"/>
    <w:rsid w:val="6C624135"/>
    <w:rsid w:val="6C6B6C2A"/>
    <w:rsid w:val="6C755C79"/>
    <w:rsid w:val="6C7C7008"/>
    <w:rsid w:val="6C8477D1"/>
    <w:rsid w:val="6C891725"/>
    <w:rsid w:val="6C8B0FF9"/>
    <w:rsid w:val="6C8D4D71"/>
    <w:rsid w:val="6C991968"/>
    <w:rsid w:val="6C9A56E0"/>
    <w:rsid w:val="6C9C3206"/>
    <w:rsid w:val="6C9F3C26"/>
    <w:rsid w:val="6CA55DD8"/>
    <w:rsid w:val="6CA813D1"/>
    <w:rsid w:val="6CA81BAB"/>
    <w:rsid w:val="6CAB14ED"/>
    <w:rsid w:val="6CAD5413"/>
    <w:rsid w:val="6CAE69CD"/>
    <w:rsid w:val="6CAF5292"/>
    <w:rsid w:val="6CB30550"/>
    <w:rsid w:val="6CBC5656"/>
    <w:rsid w:val="6CC13BE1"/>
    <w:rsid w:val="6CC664D5"/>
    <w:rsid w:val="6CDA788A"/>
    <w:rsid w:val="6CDB4A0E"/>
    <w:rsid w:val="6CDC1854"/>
    <w:rsid w:val="6CEC1919"/>
    <w:rsid w:val="6CF82994"/>
    <w:rsid w:val="6CF92413"/>
    <w:rsid w:val="6CFC3CA5"/>
    <w:rsid w:val="6CFE17CB"/>
    <w:rsid w:val="6D0B73F9"/>
    <w:rsid w:val="6D1030E7"/>
    <w:rsid w:val="6D13477B"/>
    <w:rsid w:val="6D21370B"/>
    <w:rsid w:val="6D2D29EC"/>
    <w:rsid w:val="6D2F3CAF"/>
    <w:rsid w:val="6D357A95"/>
    <w:rsid w:val="6D361BA5"/>
    <w:rsid w:val="6D3C66A0"/>
    <w:rsid w:val="6D45564C"/>
    <w:rsid w:val="6D461EAA"/>
    <w:rsid w:val="6D4713C4"/>
    <w:rsid w:val="6D5318DD"/>
    <w:rsid w:val="6D5706E5"/>
    <w:rsid w:val="6D57537F"/>
    <w:rsid w:val="6D5A09F1"/>
    <w:rsid w:val="6D5C46E0"/>
    <w:rsid w:val="6D5E04BB"/>
    <w:rsid w:val="6D65499E"/>
    <w:rsid w:val="6D6C15A7"/>
    <w:rsid w:val="6D731774"/>
    <w:rsid w:val="6D7952F5"/>
    <w:rsid w:val="6D8617C0"/>
    <w:rsid w:val="6D8A5754"/>
    <w:rsid w:val="6D8D0DA1"/>
    <w:rsid w:val="6D8D6128"/>
    <w:rsid w:val="6D9143ED"/>
    <w:rsid w:val="6D96027F"/>
    <w:rsid w:val="6D9739CD"/>
    <w:rsid w:val="6D9756F1"/>
    <w:rsid w:val="6D983A62"/>
    <w:rsid w:val="6DA00AD4"/>
    <w:rsid w:val="6DB122F8"/>
    <w:rsid w:val="6DB77BCC"/>
    <w:rsid w:val="6DBB3A8B"/>
    <w:rsid w:val="6DC60795"/>
    <w:rsid w:val="6DD62CAD"/>
    <w:rsid w:val="6DDD3AD6"/>
    <w:rsid w:val="6DDE5831"/>
    <w:rsid w:val="6DF10ECC"/>
    <w:rsid w:val="6DF242FF"/>
    <w:rsid w:val="6DF7216D"/>
    <w:rsid w:val="6DF90F09"/>
    <w:rsid w:val="6E02119A"/>
    <w:rsid w:val="6E0B0643"/>
    <w:rsid w:val="6E0D6F64"/>
    <w:rsid w:val="6E160D96"/>
    <w:rsid w:val="6E1A0886"/>
    <w:rsid w:val="6E1D2124"/>
    <w:rsid w:val="6E254D40"/>
    <w:rsid w:val="6E276AFF"/>
    <w:rsid w:val="6E2C02A5"/>
    <w:rsid w:val="6E3336CF"/>
    <w:rsid w:val="6E35746E"/>
    <w:rsid w:val="6E364F94"/>
    <w:rsid w:val="6E3A1CE8"/>
    <w:rsid w:val="6E3B7411"/>
    <w:rsid w:val="6E3C516C"/>
    <w:rsid w:val="6E3C6AFD"/>
    <w:rsid w:val="6E407BC1"/>
    <w:rsid w:val="6E475935"/>
    <w:rsid w:val="6E487D3E"/>
    <w:rsid w:val="6E5673E4"/>
    <w:rsid w:val="6E5B49FB"/>
    <w:rsid w:val="6E62222D"/>
    <w:rsid w:val="6E6715F2"/>
    <w:rsid w:val="6E680FFF"/>
    <w:rsid w:val="6E6935BC"/>
    <w:rsid w:val="6E6C4E5A"/>
    <w:rsid w:val="6E7B48A4"/>
    <w:rsid w:val="6E7F06E9"/>
    <w:rsid w:val="6E91041D"/>
    <w:rsid w:val="6E9248C1"/>
    <w:rsid w:val="6E93207D"/>
    <w:rsid w:val="6EA42846"/>
    <w:rsid w:val="6EA6297D"/>
    <w:rsid w:val="6EB20ABF"/>
    <w:rsid w:val="6EBD4657"/>
    <w:rsid w:val="6EC46886"/>
    <w:rsid w:val="6EC46A44"/>
    <w:rsid w:val="6EC86FE9"/>
    <w:rsid w:val="6ECC2E76"/>
    <w:rsid w:val="6ED529FF"/>
    <w:rsid w:val="6ED76777"/>
    <w:rsid w:val="6EDB5653"/>
    <w:rsid w:val="6EDD3662"/>
    <w:rsid w:val="6EDE7B06"/>
    <w:rsid w:val="6EE42C42"/>
    <w:rsid w:val="6EE964AB"/>
    <w:rsid w:val="6EF70BC7"/>
    <w:rsid w:val="6EF914F5"/>
    <w:rsid w:val="6F0230C8"/>
    <w:rsid w:val="6F03131A"/>
    <w:rsid w:val="6F0926A9"/>
    <w:rsid w:val="6F0C0FCF"/>
    <w:rsid w:val="6F191960"/>
    <w:rsid w:val="6F2A1AA5"/>
    <w:rsid w:val="6F394D8D"/>
    <w:rsid w:val="6F40256E"/>
    <w:rsid w:val="6F40431D"/>
    <w:rsid w:val="6F4436E1"/>
    <w:rsid w:val="6F484F7F"/>
    <w:rsid w:val="6F4F630E"/>
    <w:rsid w:val="6F556507"/>
    <w:rsid w:val="6F6126B0"/>
    <w:rsid w:val="6F67729C"/>
    <w:rsid w:val="6F6A75EB"/>
    <w:rsid w:val="6F6D0E8A"/>
    <w:rsid w:val="6F6E5FA2"/>
    <w:rsid w:val="6F7246F2"/>
    <w:rsid w:val="6F7723CE"/>
    <w:rsid w:val="6F773AB6"/>
    <w:rsid w:val="6F88683F"/>
    <w:rsid w:val="6F926B42"/>
    <w:rsid w:val="6F9401C4"/>
    <w:rsid w:val="6F991C7F"/>
    <w:rsid w:val="6FA56875"/>
    <w:rsid w:val="6FA83582"/>
    <w:rsid w:val="6FAC3760"/>
    <w:rsid w:val="6FAC5D4C"/>
    <w:rsid w:val="6FB865A9"/>
    <w:rsid w:val="6FC0545D"/>
    <w:rsid w:val="6FC14D32"/>
    <w:rsid w:val="6FC211D5"/>
    <w:rsid w:val="6FC30AAA"/>
    <w:rsid w:val="6FC364A6"/>
    <w:rsid w:val="6FC62348"/>
    <w:rsid w:val="6FD111A8"/>
    <w:rsid w:val="6FD11419"/>
    <w:rsid w:val="6FDB5DF3"/>
    <w:rsid w:val="6FE729EA"/>
    <w:rsid w:val="6FE86762"/>
    <w:rsid w:val="6FE95C1F"/>
    <w:rsid w:val="6FEE39EE"/>
    <w:rsid w:val="6FFF218C"/>
    <w:rsid w:val="7019203A"/>
    <w:rsid w:val="701B7D3D"/>
    <w:rsid w:val="701E687D"/>
    <w:rsid w:val="702218BB"/>
    <w:rsid w:val="70241CE7"/>
    <w:rsid w:val="703B4AE4"/>
    <w:rsid w:val="703D260A"/>
    <w:rsid w:val="704020FA"/>
    <w:rsid w:val="7040660E"/>
    <w:rsid w:val="704E372E"/>
    <w:rsid w:val="70567B70"/>
    <w:rsid w:val="70585696"/>
    <w:rsid w:val="705B6F34"/>
    <w:rsid w:val="706A7177"/>
    <w:rsid w:val="706E310B"/>
    <w:rsid w:val="7076587D"/>
    <w:rsid w:val="70934920"/>
    <w:rsid w:val="70A24B63"/>
    <w:rsid w:val="70A30770"/>
    <w:rsid w:val="70A94143"/>
    <w:rsid w:val="70A97C9F"/>
    <w:rsid w:val="70B339CE"/>
    <w:rsid w:val="70B623BC"/>
    <w:rsid w:val="70BF1DFE"/>
    <w:rsid w:val="70BF3967"/>
    <w:rsid w:val="70C112D7"/>
    <w:rsid w:val="70C1148D"/>
    <w:rsid w:val="70C920F0"/>
    <w:rsid w:val="70C924BF"/>
    <w:rsid w:val="70C96594"/>
    <w:rsid w:val="70CE7706"/>
    <w:rsid w:val="70D7566B"/>
    <w:rsid w:val="70DC1E23"/>
    <w:rsid w:val="70DE203F"/>
    <w:rsid w:val="70E64A50"/>
    <w:rsid w:val="70E80B4E"/>
    <w:rsid w:val="70EE3452"/>
    <w:rsid w:val="70F133F4"/>
    <w:rsid w:val="70F25AEA"/>
    <w:rsid w:val="70F52EE5"/>
    <w:rsid w:val="70F74EAF"/>
    <w:rsid w:val="70F9549B"/>
    <w:rsid w:val="7104581E"/>
    <w:rsid w:val="710547C7"/>
    <w:rsid w:val="71056FF9"/>
    <w:rsid w:val="71063344"/>
    <w:rsid w:val="710C1901"/>
    <w:rsid w:val="710D7763"/>
    <w:rsid w:val="71107D1F"/>
    <w:rsid w:val="711517D9"/>
    <w:rsid w:val="71185FB7"/>
    <w:rsid w:val="71197447"/>
    <w:rsid w:val="711B4938"/>
    <w:rsid w:val="711F7F62"/>
    <w:rsid w:val="712437CA"/>
    <w:rsid w:val="71257C6E"/>
    <w:rsid w:val="712D6D4D"/>
    <w:rsid w:val="71306613"/>
    <w:rsid w:val="713C6D66"/>
    <w:rsid w:val="713F0604"/>
    <w:rsid w:val="7142463B"/>
    <w:rsid w:val="71436346"/>
    <w:rsid w:val="714874B8"/>
    <w:rsid w:val="714A1482"/>
    <w:rsid w:val="71570879"/>
    <w:rsid w:val="715A71EC"/>
    <w:rsid w:val="717371E5"/>
    <w:rsid w:val="71777D9E"/>
    <w:rsid w:val="7178018F"/>
    <w:rsid w:val="71793B16"/>
    <w:rsid w:val="717958C4"/>
    <w:rsid w:val="717B788E"/>
    <w:rsid w:val="71844E20"/>
    <w:rsid w:val="71881FAB"/>
    <w:rsid w:val="718B7769"/>
    <w:rsid w:val="719641E7"/>
    <w:rsid w:val="719B7311"/>
    <w:rsid w:val="71A36DE5"/>
    <w:rsid w:val="71A843FB"/>
    <w:rsid w:val="71AD06DE"/>
    <w:rsid w:val="71B97C16"/>
    <w:rsid w:val="71C62684"/>
    <w:rsid w:val="71D92806"/>
    <w:rsid w:val="71DD22F7"/>
    <w:rsid w:val="71DD6189"/>
    <w:rsid w:val="71E32E83"/>
    <w:rsid w:val="71E52F59"/>
    <w:rsid w:val="71E715B9"/>
    <w:rsid w:val="71E81282"/>
    <w:rsid w:val="71F15DA2"/>
    <w:rsid w:val="71FD64F5"/>
    <w:rsid w:val="71FD66AC"/>
    <w:rsid w:val="72076C0F"/>
    <w:rsid w:val="720930EC"/>
    <w:rsid w:val="720A29C0"/>
    <w:rsid w:val="720C498A"/>
    <w:rsid w:val="72125C50"/>
    <w:rsid w:val="72135D18"/>
    <w:rsid w:val="721F3278"/>
    <w:rsid w:val="72281098"/>
    <w:rsid w:val="722A12B4"/>
    <w:rsid w:val="722C6DDA"/>
    <w:rsid w:val="722E09B1"/>
    <w:rsid w:val="72331F17"/>
    <w:rsid w:val="72410CCD"/>
    <w:rsid w:val="72473C14"/>
    <w:rsid w:val="724A3704"/>
    <w:rsid w:val="724E1389"/>
    <w:rsid w:val="72541E8D"/>
    <w:rsid w:val="726227FC"/>
    <w:rsid w:val="726273B2"/>
    <w:rsid w:val="726A2940"/>
    <w:rsid w:val="727367B7"/>
    <w:rsid w:val="727741F4"/>
    <w:rsid w:val="727B1B10"/>
    <w:rsid w:val="727F059A"/>
    <w:rsid w:val="728269FA"/>
    <w:rsid w:val="728B5C67"/>
    <w:rsid w:val="728F1117"/>
    <w:rsid w:val="729A3D44"/>
    <w:rsid w:val="729B5D0E"/>
    <w:rsid w:val="72A1635F"/>
    <w:rsid w:val="72A9042B"/>
    <w:rsid w:val="72A946A6"/>
    <w:rsid w:val="72AE09EE"/>
    <w:rsid w:val="72AF6007"/>
    <w:rsid w:val="72B62B48"/>
    <w:rsid w:val="72C15774"/>
    <w:rsid w:val="72C25048"/>
    <w:rsid w:val="72CC236B"/>
    <w:rsid w:val="72D76045"/>
    <w:rsid w:val="72E13D48"/>
    <w:rsid w:val="72E71B23"/>
    <w:rsid w:val="73075151"/>
    <w:rsid w:val="7307719C"/>
    <w:rsid w:val="73092C77"/>
    <w:rsid w:val="730C6BF9"/>
    <w:rsid w:val="7318735E"/>
    <w:rsid w:val="731A6C33"/>
    <w:rsid w:val="73217FC1"/>
    <w:rsid w:val="73281C56"/>
    <w:rsid w:val="732C4583"/>
    <w:rsid w:val="732E7AA3"/>
    <w:rsid w:val="733103CE"/>
    <w:rsid w:val="733B79C1"/>
    <w:rsid w:val="733F58F4"/>
    <w:rsid w:val="734339B0"/>
    <w:rsid w:val="7348187C"/>
    <w:rsid w:val="735465E8"/>
    <w:rsid w:val="73584B5D"/>
    <w:rsid w:val="735E7467"/>
    <w:rsid w:val="736A52FE"/>
    <w:rsid w:val="736D1458"/>
    <w:rsid w:val="737A1DC7"/>
    <w:rsid w:val="737C77CB"/>
    <w:rsid w:val="73814F04"/>
    <w:rsid w:val="73816CB2"/>
    <w:rsid w:val="73827EBA"/>
    <w:rsid w:val="73880040"/>
    <w:rsid w:val="738B3C5F"/>
    <w:rsid w:val="738C5C37"/>
    <w:rsid w:val="73913600"/>
    <w:rsid w:val="739509AF"/>
    <w:rsid w:val="73A10BAE"/>
    <w:rsid w:val="73A352B6"/>
    <w:rsid w:val="73A624F6"/>
    <w:rsid w:val="73A62BBC"/>
    <w:rsid w:val="73AF1A71"/>
    <w:rsid w:val="73BE1CB4"/>
    <w:rsid w:val="73C51294"/>
    <w:rsid w:val="73C97536"/>
    <w:rsid w:val="73CD3228"/>
    <w:rsid w:val="73CE0271"/>
    <w:rsid w:val="73DF0290"/>
    <w:rsid w:val="73EB6821"/>
    <w:rsid w:val="73ED2599"/>
    <w:rsid w:val="73EF3D7E"/>
    <w:rsid w:val="73F05BE5"/>
    <w:rsid w:val="73F40D2C"/>
    <w:rsid w:val="740022CC"/>
    <w:rsid w:val="740E02D5"/>
    <w:rsid w:val="740F0761"/>
    <w:rsid w:val="74100036"/>
    <w:rsid w:val="74122000"/>
    <w:rsid w:val="74132B02"/>
    <w:rsid w:val="741533A1"/>
    <w:rsid w:val="741E7E09"/>
    <w:rsid w:val="74273CFD"/>
    <w:rsid w:val="742C30C1"/>
    <w:rsid w:val="743401C8"/>
    <w:rsid w:val="74343D24"/>
    <w:rsid w:val="74363F40"/>
    <w:rsid w:val="7437414A"/>
    <w:rsid w:val="74402B38"/>
    <w:rsid w:val="744228E5"/>
    <w:rsid w:val="74455F31"/>
    <w:rsid w:val="744D3038"/>
    <w:rsid w:val="74660B1B"/>
    <w:rsid w:val="746A383C"/>
    <w:rsid w:val="746C2E61"/>
    <w:rsid w:val="746E1F02"/>
    <w:rsid w:val="7473539A"/>
    <w:rsid w:val="74842075"/>
    <w:rsid w:val="748C0E73"/>
    <w:rsid w:val="748E12E6"/>
    <w:rsid w:val="748E78D8"/>
    <w:rsid w:val="749809E1"/>
    <w:rsid w:val="74A83B0E"/>
    <w:rsid w:val="74B135C7"/>
    <w:rsid w:val="74CE23CA"/>
    <w:rsid w:val="74D11CCC"/>
    <w:rsid w:val="74E077D3"/>
    <w:rsid w:val="74E163CB"/>
    <w:rsid w:val="74E40210"/>
    <w:rsid w:val="74F87447"/>
    <w:rsid w:val="74FE77D4"/>
    <w:rsid w:val="750758DC"/>
    <w:rsid w:val="7507768A"/>
    <w:rsid w:val="750A2CD7"/>
    <w:rsid w:val="750D133A"/>
    <w:rsid w:val="75154A19"/>
    <w:rsid w:val="75297601"/>
    <w:rsid w:val="752B5127"/>
    <w:rsid w:val="753541F8"/>
    <w:rsid w:val="75366F8A"/>
    <w:rsid w:val="75390472"/>
    <w:rsid w:val="75502DDF"/>
    <w:rsid w:val="75610B49"/>
    <w:rsid w:val="75630CAA"/>
    <w:rsid w:val="756B54AA"/>
    <w:rsid w:val="756D573F"/>
    <w:rsid w:val="757A7E5C"/>
    <w:rsid w:val="757F5473"/>
    <w:rsid w:val="758B02BC"/>
    <w:rsid w:val="759058D2"/>
    <w:rsid w:val="759233F8"/>
    <w:rsid w:val="75943670"/>
    <w:rsid w:val="75A90742"/>
    <w:rsid w:val="75AA24FD"/>
    <w:rsid w:val="75AB270C"/>
    <w:rsid w:val="75AF4DDE"/>
    <w:rsid w:val="75B96BD7"/>
    <w:rsid w:val="75D237F5"/>
    <w:rsid w:val="75E71E1F"/>
    <w:rsid w:val="75F714AD"/>
    <w:rsid w:val="760A11E0"/>
    <w:rsid w:val="761050D9"/>
    <w:rsid w:val="76164029"/>
    <w:rsid w:val="76192EF1"/>
    <w:rsid w:val="762115A2"/>
    <w:rsid w:val="7621652A"/>
    <w:rsid w:val="763224E5"/>
    <w:rsid w:val="76432DB0"/>
    <w:rsid w:val="764A3CD3"/>
    <w:rsid w:val="764D7216"/>
    <w:rsid w:val="764D731F"/>
    <w:rsid w:val="764F753B"/>
    <w:rsid w:val="76562678"/>
    <w:rsid w:val="76592168"/>
    <w:rsid w:val="766034F6"/>
    <w:rsid w:val="766A1C7F"/>
    <w:rsid w:val="766D7812"/>
    <w:rsid w:val="76790114"/>
    <w:rsid w:val="767B3701"/>
    <w:rsid w:val="76806E93"/>
    <w:rsid w:val="7685658D"/>
    <w:rsid w:val="76863DAD"/>
    <w:rsid w:val="768668BE"/>
    <w:rsid w:val="768B3C79"/>
    <w:rsid w:val="768D4D1F"/>
    <w:rsid w:val="768F5B89"/>
    <w:rsid w:val="769211D6"/>
    <w:rsid w:val="76A10290"/>
    <w:rsid w:val="76A72ED3"/>
    <w:rsid w:val="76A96C4B"/>
    <w:rsid w:val="76AB372A"/>
    <w:rsid w:val="76B33626"/>
    <w:rsid w:val="76B45ED8"/>
    <w:rsid w:val="76BA0E58"/>
    <w:rsid w:val="76BD0DA7"/>
    <w:rsid w:val="76BE2072"/>
    <w:rsid w:val="76C31684"/>
    <w:rsid w:val="76C577FD"/>
    <w:rsid w:val="76D00C8B"/>
    <w:rsid w:val="76DF08BF"/>
    <w:rsid w:val="76E16AC1"/>
    <w:rsid w:val="76E25CB9"/>
    <w:rsid w:val="76E301FF"/>
    <w:rsid w:val="76F0487A"/>
    <w:rsid w:val="76F93003"/>
    <w:rsid w:val="76FD109D"/>
    <w:rsid w:val="77075B40"/>
    <w:rsid w:val="770E0AD4"/>
    <w:rsid w:val="770F2826"/>
    <w:rsid w:val="7729273D"/>
    <w:rsid w:val="7731714A"/>
    <w:rsid w:val="773C7ABF"/>
    <w:rsid w:val="77416E84"/>
    <w:rsid w:val="77431ABF"/>
    <w:rsid w:val="77512E3F"/>
    <w:rsid w:val="775525B7"/>
    <w:rsid w:val="775F062D"/>
    <w:rsid w:val="776816DF"/>
    <w:rsid w:val="77752FD1"/>
    <w:rsid w:val="77767182"/>
    <w:rsid w:val="777E0FB0"/>
    <w:rsid w:val="77825766"/>
    <w:rsid w:val="77955421"/>
    <w:rsid w:val="7798281C"/>
    <w:rsid w:val="77996CC0"/>
    <w:rsid w:val="779B549C"/>
    <w:rsid w:val="779C055E"/>
    <w:rsid w:val="77A318EC"/>
    <w:rsid w:val="77A86B72"/>
    <w:rsid w:val="77A97C05"/>
    <w:rsid w:val="77C46274"/>
    <w:rsid w:val="77C655DB"/>
    <w:rsid w:val="77C81353"/>
    <w:rsid w:val="77C975EC"/>
    <w:rsid w:val="77D60AB3"/>
    <w:rsid w:val="77DE0B76"/>
    <w:rsid w:val="77E43CB3"/>
    <w:rsid w:val="77EB6DF0"/>
    <w:rsid w:val="77F20752"/>
    <w:rsid w:val="781C1732"/>
    <w:rsid w:val="78232A2D"/>
    <w:rsid w:val="7824158D"/>
    <w:rsid w:val="782A5B6A"/>
    <w:rsid w:val="782C4AB7"/>
    <w:rsid w:val="782C7B34"/>
    <w:rsid w:val="78320EC2"/>
    <w:rsid w:val="783B50FA"/>
    <w:rsid w:val="78404D71"/>
    <w:rsid w:val="784057A0"/>
    <w:rsid w:val="78410BAE"/>
    <w:rsid w:val="78473033"/>
    <w:rsid w:val="784B5AE0"/>
    <w:rsid w:val="784C0C88"/>
    <w:rsid w:val="786170B2"/>
    <w:rsid w:val="78621628"/>
    <w:rsid w:val="786F3C2C"/>
    <w:rsid w:val="7879736A"/>
    <w:rsid w:val="78955947"/>
    <w:rsid w:val="789A32EC"/>
    <w:rsid w:val="789C4C2E"/>
    <w:rsid w:val="78A07BDA"/>
    <w:rsid w:val="78A3591C"/>
    <w:rsid w:val="78A43B6E"/>
    <w:rsid w:val="78A51735"/>
    <w:rsid w:val="78A53442"/>
    <w:rsid w:val="78A9267C"/>
    <w:rsid w:val="78AA0A59"/>
    <w:rsid w:val="78B418D7"/>
    <w:rsid w:val="78B604C3"/>
    <w:rsid w:val="78BB5B1D"/>
    <w:rsid w:val="78BD53BB"/>
    <w:rsid w:val="78C53AE4"/>
    <w:rsid w:val="78C733B9"/>
    <w:rsid w:val="78C87131"/>
    <w:rsid w:val="78CD4648"/>
    <w:rsid w:val="78D14237"/>
    <w:rsid w:val="78DD0E2E"/>
    <w:rsid w:val="78E0455B"/>
    <w:rsid w:val="78E35D19"/>
    <w:rsid w:val="78E91CBC"/>
    <w:rsid w:val="78F341AE"/>
    <w:rsid w:val="790068CB"/>
    <w:rsid w:val="790A599B"/>
    <w:rsid w:val="790C08F9"/>
    <w:rsid w:val="79167E9C"/>
    <w:rsid w:val="791D747D"/>
    <w:rsid w:val="79232399"/>
    <w:rsid w:val="79253CCD"/>
    <w:rsid w:val="792945E8"/>
    <w:rsid w:val="792E3438"/>
    <w:rsid w:val="79323F7F"/>
    <w:rsid w:val="79366790"/>
    <w:rsid w:val="793B41E9"/>
    <w:rsid w:val="79426EE3"/>
    <w:rsid w:val="79492020"/>
    <w:rsid w:val="794C1B10"/>
    <w:rsid w:val="79537342"/>
    <w:rsid w:val="796230E1"/>
    <w:rsid w:val="79654980"/>
    <w:rsid w:val="796A32C0"/>
    <w:rsid w:val="796C6412"/>
    <w:rsid w:val="797177C8"/>
    <w:rsid w:val="79782264"/>
    <w:rsid w:val="79797DE9"/>
    <w:rsid w:val="797A48CF"/>
    <w:rsid w:val="79856DD0"/>
    <w:rsid w:val="79863274"/>
    <w:rsid w:val="79865022"/>
    <w:rsid w:val="79975C89"/>
    <w:rsid w:val="799C6D83"/>
    <w:rsid w:val="799E680F"/>
    <w:rsid w:val="799F4335"/>
    <w:rsid w:val="79A8143C"/>
    <w:rsid w:val="79B0659A"/>
    <w:rsid w:val="79B53B59"/>
    <w:rsid w:val="79BA116F"/>
    <w:rsid w:val="79C773E8"/>
    <w:rsid w:val="79CD2C51"/>
    <w:rsid w:val="79D27FA4"/>
    <w:rsid w:val="79D51B05"/>
    <w:rsid w:val="79DA536E"/>
    <w:rsid w:val="79DB1291"/>
    <w:rsid w:val="79DD6C0C"/>
    <w:rsid w:val="79E63D12"/>
    <w:rsid w:val="79EA1A55"/>
    <w:rsid w:val="79F20407"/>
    <w:rsid w:val="79FC52E4"/>
    <w:rsid w:val="7A044199"/>
    <w:rsid w:val="7A083C89"/>
    <w:rsid w:val="7A102AD6"/>
    <w:rsid w:val="7A147D16"/>
    <w:rsid w:val="7A195E96"/>
    <w:rsid w:val="7A1A1C0E"/>
    <w:rsid w:val="7A1A2041"/>
    <w:rsid w:val="7A1F1F5A"/>
    <w:rsid w:val="7A262361"/>
    <w:rsid w:val="7A290118"/>
    <w:rsid w:val="7A293BFF"/>
    <w:rsid w:val="7A341ED6"/>
    <w:rsid w:val="7A3525A4"/>
    <w:rsid w:val="7A3A5CE2"/>
    <w:rsid w:val="7A4626EE"/>
    <w:rsid w:val="7A4A42A1"/>
    <w:rsid w:val="7A4D1FE3"/>
    <w:rsid w:val="7A4E01FC"/>
    <w:rsid w:val="7A4F4C35"/>
    <w:rsid w:val="7A5944E4"/>
    <w:rsid w:val="7A5C393B"/>
    <w:rsid w:val="7A5F5873"/>
    <w:rsid w:val="7A684727"/>
    <w:rsid w:val="7A6F34F2"/>
    <w:rsid w:val="7A6F3D08"/>
    <w:rsid w:val="7A757D4B"/>
    <w:rsid w:val="7A7C5876"/>
    <w:rsid w:val="7A801BF3"/>
    <w:rsid w:val="7A82285A"/>
    <w:rsid w:val="7A8606B3"/>
    <w:rsid w:val="7A886B78"/>
    <w:rsid w:val="7A8A28F0"/>
    <w:rsid w:val="7A965738"/>
    <w:rsid w:val="7A980D82"/>
    <w:rsid w:val="7A9C5DCD"/>
    <w:rsid w:val="7A9D6AC7"/>
    <w:rsid w:val="7AA31C03"/>
    <w:rsid w:val="7AA459A8"/>
    <w:rsid w:val="7AA9075E"/>
    <w:rsid w:val="7AAB7433"/>
    <w:rsid w:val="7AAF76FA"/>
    <w:rsid w:val="7AB8283E"/>
    <w:rsid w:val="7ABC51E6"/>
    <w:rsid w:val="7ABD0FB2"/>
    <w:rsid w:val="7AC2652D"/>
    <w:rsid w:val="7AC95111"/>
    <w:rsid w:val="7ACD6C80"/>
    <w:rsid w:val="7AD16771"/>
    <w:rsid w:val="7AD3663F"/>
    <w:rsid w:val="7AD61FD9"/>
    <w:rsid w:val="7AD87AFF"/>
    <w:rsid w:val="7ADD5115"/>
    <w:rsid w:val="7AE87FB7"/>
    <w:rsid w:val="7AEC7106"/>
    <w:rsid w:val="7AF4245F"/>
    <w:rsid w:val="7AF95CC7"/>
    <w:rsid w:val="7AF97A75"/>
    <w:rsid w:val="7AFD7566"/>
    <w:rsid w:val="7B0209A9"/>
    <w:rsid w:val="7B0F3A72"/>
    <w:rsid w:val="7B114DBF"/>
    <w:rsid w:val="7B1448AF"/>
    <w:rsid w:val="7B166879"/>
    <w:rsid w:val="7B18614D"/>
    <w:rsid w:val="7B1C4DB5"/>
    <w:rsid w:val="7B226FCC"/>
    <w:rsid w:val="7B2309F5"/>
    <w:rsid w:val="7B2D2C65"/>
    <w:rsid w:val="7B30793B"/>
    <w:rsid w:val="7B454A69"/>
    <w:rsid w:val="7B491100"/>
    <w:rsid w:val="7B4C5DF7"/>
    <w:rsid w:val="7B52459E"/>
    <w:rsid w:val="7B580DFE"/>
    <w:rsid w:val="7B5B428C"/>
    <w:rsid w:val="7B66335D"/>
    <w:rsid w:val="7B675C99"/>
    <w:rsid w:val="7B686815"/>
    <w:rsid w:val="7B694BFB"/>
    <w:rsid w:val="7B6A5D5B"/>
    <w:rsid w:val="7B6A748C"/>
    <w:rsid w:val="7B6E2F9B"/>
    <w:rsid w:val="7B771530"/>
    <w:rsid w:val="7B7A0BB6"/>
    <w:rsid w:val="7B7C7D8E"/>
    <w:rsid w:val="7B7D2454"/>
    <w:rsid w:val="7B7F7F7B"/>
    <w:rsid w:val="7B86755B"/>
    <w:rsid w:val="7B8C6B3B"/>
    <w:rsid w:val="7B8E7012"/>
    <w:rsid w:val="7B901AD8"/>
    <w:rsid w:val="7B931540"/>
    <w:rsid w:val="7BA07EF1"/>
    <w:rsid w:val="7BA619AB"/>
    <w:rsid w:val="7BAC4AE8"/>
    <w:rsid w:val="7BB17113"/>
    <w:rsid w:val="7BB31B47"/>
    <w:rsid w:val="7BC71773"/>
    <w:rsid w:val="7BC8265B"/>
    <w:rsid w:val="7BCB7664"/>
    <w:rsid w:val="7BCD4524"/>
    <w:rsid w:val="7BCE0F02"/>
    <w:rsid w:val="7BD61B65"/>
    <w:rsid w:val="7BD67A88"/>
    <w:rsid w:val="7BD863FC"/>
    <w:rsid w:val="7BDF099D"/>
    <w:rsid w:val="7BDF310F"/>
    <w:rsid w:val="7BEE3352"/>
    <w:rsid w:val="7BF64053"/>
    <w:rsid w:val="7BFB54A5"/>
    <w:rsid w:val="7C044924"/>
    <w:rsid w:val="7C084414"/>
    <w:rsid w:val="7C0B7A60"/>
    <w:rsid w:val="7C131762"/>
    <w:rsid w:val="7C222C7E"/>
    <w:rsid w:val="7C29438A"/>
    <w:rsid w:val="7C3D3992"/>
    <w:rsid w:val="7C3E1BE4"/>
    <w:rsid w:val="7C3E7E36"/>
    <w:rsid w:val="7C4411C4"/>
    <w:rsid w:val="7C595D10"/>
    <w:rsid w:val="7C5A4544"/>
    <w:rsid w:val="7C5C2218"/>
    <w:rsid w:val="7C611D76"/>
    <w:rsid w:val="7C686C61"/>
    <w:rsid w:val="7C771452"/>
    <w:rsid w:val="7C8C2CA7"/>
    <w:rsid w:val="7C9B5288"/>
    <w:rsid w:val="7C9F686B"/>
    <w:rsid w:val="7CAD0B17"/>
    <w:rsid w:val="7CAD1618"/>
    <w:rsid w:val="7CAD5781"/>
    <w:rsid w:val="7CC23932"/>
    <w:rsid w:val="7CC62477"/>
    <w:rsid w:val="7CD442F6"/>
    <w:rsid w:val="7CD95DB0"/>
    <w:rsid w:val="7CDB7433"/>
    <w:rsid w:val="7CE34539"/>
    <w:rsid w:val="7CE366A7"/>
    <w:rsid w:val="7CF14EA8"/>
    <w:rsid w:val="7CF20C20"/>
    <w:rsid w:val="7D030CD1"/>
    <w:rsid w:val="7D034BDB"/>
    <w:rsid w:val="7D116F40"/>
    <w:rsid w:val="7D126BCC"/>
    <w:rsid w:val="7D1363DA"/>
    <w:rsid w:val="7D1D5496"/>
    <w:rsid w:val="7D250FF6"/>
    <w:rsid w:val="7D2A2168"/>
    <w:rsid w:val="7D3E5C51"/>
    <w:rsid w:val="7D4E40A8"/>
    <w:rsid w:val="7D554548"/>
    <w:rsid w:val="7D5611AF"/>
    <w:rsid w:val="7D566EE8"/>
    <w:rsid w:val="7D584F27"/>
    <w:rsid w:val="7D5B67C5"/>
    <w:rsid w:val="7D621902"/>
    <w:rsid w:val="7D697E7F"/>
    <w:rsid w:val="7D6A4C5A"/>
    <w:rsid w:val="7D731D61"/>
    <w:rsid w:val="7D7675B2"/>
    <w:rsid w:val="7D875502"/>
    <w:rsid w:val="7D883F06"/>
    <w:rsid w:val="7D8F2C47"/>
    <w:rsid w:val="7D8F646F"/>
    <w:rsid w:val="7D9D0B8C"/>
    <w:rsid w:val="7D9F4904"/>
    <w:rsid w:val="7DA619A7"/>
    <w:rsid w:val="7DB3215D"/>
    <w:rsid w:val="7DBA173E"/>
    <w:rsid w:val="7DBA7990"/>
    <w:rsid w:val="7DC46119"/>
    <w:rsid w:val="7DC75C09"/>
    <w:rsid w:val="7DC91981"/>
    <w:rsid w:val="7DCC327D"/>
    <w:rsid w:val="7DCD72DE"/>
    <w:rsid w:val="7DCE76CA"/>
    <w:rsid w:val="7DD16A88"/>
    <w:rsid w:val="7DD6553B"/>
    <w:rsid w:val="7DE17459"/>
    <w:rsid w:val="7DE36933"/>
    <w:rsid w:val="7DF13805"/>
    <w:rsid w:val="7DF31EA8"/>
    <w:rsid w:val="7E004525"/>
    <w:rsid w:val="7E0B1F99"/>
    <w:rsid w:val="7E0F44BF"/>
    <w:rsid w:val="7E144221"/>
    <w:rsid w:val="7E1448F8"/>
    <w:rsid w:val="7E17093E"/>
    <w:rsid w:val="7E186464"/>
    <w:rsid w:val="7E1D3A7B"/>
    <w:rsid w:val="7E2272E3"/>
    <w:rsid w:val="7E235535"/>
    <w:rsid w:val="7E250825"/>
    <w:rsid w:val="7E27025B"/>
    <w:rsid w:val="7E2D54D9"/>
    <w:rsid w:val="7E313D0C"/>
    <w:rsid w:val="7E3B4C1D"/>
    <w:rsid w:val="7E4436FD"/>
    <w:rsid w:val="7E47154C"/>
    <w:rsid w:val="7E485D91"/>
    <w:rsid w:val="7E491FC4"/>
    <w:rsid w:val="7E4B4A8C"/>
    <w:rsid w:val="7E5C45A3"/>
    <w:rsid w:val="7E68119A"/>
    <w:rsid w:val="7E6B47E6"/>
    <w:rsid w:val="7E6D04DE"/>
    <w:rsid w:val="7E6E0173"/>
    <w:rsid w:val="7E736BE6"/>
    <w:rsid w:val="7E7538B7"/>
    <w:rsid w:val="7E7713DD"/>
    <w:rsid w:val="7E7C4C45"/>
    <w:rsid w:val="7E7F64E4"/>
    <w:rsid w:val="7E8104AE"/>
    <w:rsid w:val="7E857F9E"/>
    <w:rsid w:val="7E8950DA"/>
    <w:rsid w:val="7E896090"/>
    <w:rsid w:val="7E953F59"/>
    <w:rsid w:val="7EA412BC"/>
    <w:rsid w:val="7EAD4DFF"/>
    <w:rsid w:val="7EB376D4"/>
    <w:rsid w:val="7EC16AFC"/>
    <w:rsid w:val="7EC81C39"/>
    <w:rsid w:val="7ED405DD"/>
    <w:rsid w:val="7EDE04E1"/>
    <w:rsid w:val="7EE0457D"/>
    <w:rsid w:val="7EE12CFA"/>
    <w:rsid w:val="7EEF18BB"/>
    <w:rsid w:val="7EF173E1"/>
    <w:rsid w:val="7EF26CB5"/>
    <w:rsid w:val="7EFD6F57"/>
    <w:rsid w:val="7EFE078A"/>
    <w:rsid w:val="7F111E54"/>
    <w:rsid w:val="7F1355C3"/>
    <w:rsid w:val="7F145DE1"/>
    <w:rsid w:val="7F1B7FBA"/>
    <w:rsid w:val="7F1E7AAB"/>
    <w:rsid w:val="7F231565"/>
    <w:rsid w:val="7F243BE2"/>
    <w:rsid w:val="7F250E39"/>
    <w:rsid w:val="7F2839F3"/>
    <w:rsid w:val="7F3472CE"/>
    <w:rsid w:val="7F370B6C"/>
    <w:rsid w:val="7F376DBE"/>
    <w:rsid w:val="7F3B065C"/>
    <w:rsid w:val="7F402117"/>
    <w:rsid w:val="7F455AEC"/>
    <w:rsid w:val="7F484B27"/>
    <w:rsid w:val="7F547B4C"/>
    <w:rsid w:val="7F5638AB"/>
    <w:rsid w:val="7F671451"/>
    <w:rsid w:val="7F791E0A"/>
    <w:rsid w:val="7F7A2B7A"/>
    <w:rsid w:val="7F7C026C"/>
    <w:rsid w:val="7F8059CD"/>
    <w:rsid w:val="7F875650"/>
    <w:rsid w:val="7F875829"/>
    <w:rsid w:val="7F897B53"/>
    <w:rsid w:val="7F9562A7"/>
    <w:rsid w:val="7FA06711"/>
    <w:rsid w:val="7FA51F7A"/>
    <w:rsid w:val="7FAC50B6"/>
    <w:rsid w:val="7FAE7D05"/>
    <w:rsid w:val="7FD5285F"/>
    <w:rsid w:val="7FD66215"/>
    <w:rsid w:val="7FD665D7"/>
    <w:rsid w:val="7FD840FD"/>
    <w:rsid w:val="7FE00E75"/>
    <w:rsid w:val="7FE26D2A"/>
    <w:rsid w:val="7FE42AA2"/>
    <w:rsid w:val="7FE5681A"/>
    <w:rsid w:val="7FE65E0B"/>
    <w:rsid w:val="7FEC1957"/>
    <w:rsid w:val="7FEE3921"/>
    <w:rsid w:val="7FEF7AEA"/>
    <w:rsid w:val="7FFA2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ind w:firstLine="883" w:firstLineChars="200"/>
      <w:jc w:val="both"/>
    </w:pPr>
    <w:rPr>
      <w:rFonts w:ascii="Times New Roman" w:hAnsi="Times New Roman" w:eastAsia="宋体" w:cs="Times New Roman"/>
      <w:kern w:val="2"/>
      <w:sz w:val="24"/>
      <w:szCs w:val="32"/>
      <w:lang w:val="en-US" w:eastAsia="zh-CN" w:bidi="ar-SA"/>
    </w:rPr>
  </w:style>
  <w:style w:type="paragraph" w:styleId="2">
    <w:name w:val="heading 1"/>
    <w:basedOn w:val="1"/>
    <w:next w:val="1"/>
    <w:qFormat/>
    <w:uiPriority w:val="0"/>
    <w:pPr>
      <w:keepNext w:val="0"/>
      <w:keepLines w:val="0"/>
      <w:numPr>
        <w:ilvl w:val="0"/>
        <w:numId w:val="1"/>
      </w:numPr>
      <w:spacing w:beforeLines="0" w:beforeAutospacing="0" w:afterLines="0" w:afterAutospacing="0" w:line="360" w:lineRule="auto"/>
      <w:ind w:firstLine="0" w:firstLineChars="0"/>
      <w:jc w:val="center"/>
      <w:outlineLvl w:val="0"/>
    </w:pPr>
    <w:rPr>
      <w:rFonts w:ascii="Times New Roman" w:hAnsi="Times New Roman" w:eastAsia="黑体" w:cs="Times New Roman"/>
      <w:kern w:val="44"/>
      <w:sz w:val="28"/>
    </w:rPr>
  </w:style>
  <w:style w:type="paragraph" w:styleId="3">
    <w:name w:val="heading 2"/>
    <w:basedOn w:val="1"/>
    <w:next w:val="4"/>
    <w:unhideWhenUsed/>
    <w:qFormat/>
    <w:uiPriority w:val="0"/>
    <w:pPr>
      <w:keepNext w:val="0"/>
      <w:keepLines w:val="0"/>
      <w:numPr>
        <w:ilvl w:val="1"/>
        <w:numId w:val="1"/>
      </w:numPr>
      <w:tabs>
        <w:tab w:val="left" w:pos="420"/>
        <w:tab w:val="clear" w:pos="0"/>
      </w:tabs>
      <w:spacing w:beforeLines="0" w:beforeAutospacing="0" w:afterLines="0" w:afterAutospacing="0" w:line="240" w:lineRule="auto"/>
      <w:ind w:firstLine="0" w:firstLineChars="0"/>
      <w:jc w:val="center"/>
      <w:outlineLvl w:val="1"/>
    </w:pPr>
    <w:rPr>
      <w:rFonts w:ascii="Times New Roman" w:hAnsi="Times New Roman" w:eastAsia="黑体" w:cs="Times New Roman"/>
      <w:sz w:val="28"/>
    </w:rPr>
  </w:style>
  <w:style w:type="paragraph" w:styleId="5">
    <w:name w:val="heading 3"/>
    <w:basedOn w:val="1"/>
    <w:next w:val="1"/>
    <w:unhideWhenUsed/>
    <w:qFormat/>
    <w:uiPriority w:val="0"/>
    <w:pPr>
      <w:keepNext w:val="0"/>
      <w:keepLines w:val="0"/>
      <w:numPr>
        <w:ilvl w:val="2"/>
        <w:numId w:val="1"/>
      </w:numPr>
      <w:tabs>
        <w:tab w:val="left" w:pos="420"/>
        <w:tab w:val="clear" w:pos="0"/>
      </w:tabs>
      <w:spacing w:beforeLines="0" w:beforeAutospacing="0" w:afterLines="0" w:afterAutospacing="0" w:line="300" w:lineRule="auto"/>
      <w:ind w:firstLine="0" w:firstLineChars="0"/>
      <w:outlineLvl w:val="2"/>
    </w:pPr>
    <w:rPr>
      <w:rFonts w:ascii="Times New Roman" w:hAnsi="Times New Roman" w:eastAsia="宋体"/>
    </w:rPr>
  </w:style>
  <w:style w:type="paragraph" w:styleId="6">
    <w:name w:val="heading 4"/>
    <w:basedOn w:val="1"/>
    <w:next w:val="1"/>
    <w:unhideWhenUsed/>
    <w:qFormat/>
    <w:uiPriority w:val="0"/>
    <w:pPr>
      <w:keepNext w:val="0"/>
      <w:keepLines w:val="0"/>
      <w:numPr>
        <w:ilvl w:val="3"/>
        <w:numId w:val="2"/>
      </w:numPr>
      <w:spacing w:beforeLines="0" w:beforeAutospacing="0" w:afterLines="0" w:afterAutospacing="0" w:line="300" w:lineRule="auto"/>
      <w:ind w:firstLine="403" w:firstLineChars="0"/>
      <w:outlineLvl w:val="9"/>
    </w:pPr>
    <w:rPr>
      <w:rFonts w:ascii="Times New Roman" w:hAnsi="Times New Roman" w:eastAsia="宋体"/>
    </w:rPr>
  </w:style>
  <w:style w:type="paragraph" w:styleId="7">
    <w:name w:val="heading 5"/>
    <w:basedOn w:val="1"/>
    <w:next w:val="1"/>
    <w:unhideWhenUsed/>
    <w:qFormat/>
    <w:uiPriority w:val="0"/>
    <w:pPr>
      <w:keepNext w:val="0"/>
      <w:keepLines w:val="0"/>
      <w:numPr>
        <w:ilvl w:val="4"/>
        <w:numId w:val="3"/>
      </w:numPr>
      <w:tabs>
        <w:tab w:val="left" w:pos="0"/>
        <w:tab w:val="clear" w:pos="420"/>
      </w:tabs>
      <w:spacing w:beforeLines="0" w:beforeAutospacing="0" w:afterLines="0" w:afterAutospacing="0" w:line="240" w:lineRule="auto"/>
      <w:ind w:left="0" w:firstLine="402" w:firstLineChars="0"/>
      <w:outlineLvl w:val="4"/>
    </w:pPr>
    <w:rPr>
      <w:rFonts w:ascii="Times New Roman" w:hAnsi="Times New Roman" w:eastAsia="宋体"/>
    </w:rPr>
  </w:style>
  <w:style w:type="paragraph" w:styleId="8">
    <w:name w:val="heading 6"/>
    <w:basedOn w:val="1"/>
    <w:next w:val="1"/>
    <w:unhideWhenUsed/>
    <w:qFormat/>
    <w:uiPriority w:val="0"/>
    <w:pPr>
      <w:keepNext/>
      <w:keepLines/>
      <w:numPr>
        <w:ilvl w:val="5"/>
        <w:numId w:val="1"/>
      </w:numPr>
      <w:spacing w:before="240" w:beforeLines="0" w:beforeAutospacing="0" w:after="64" w:afterLines="0" w:afterAutospacing="0" w:line="317" w:lineRule="auto"/>
      <w:ind w:firstLine="402" w:firstLineChars="0"/>
      <w:outlineLvl w:val="5"/>
    </w:pPr>
    <w:rPr>
      <w:rFonts w:ascii="Arial" w:hAnsi="Arial" w:eastAsia="黑体"/>
      <w:b/>
      <w:sz w:val="24"/>
    </w:rPr>
  </w:style>
  <w:style w:type="paragraph" w:styleId="9">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firstLineChars="0"/>
      <w:outlineLvl w:val="6"/>
    </w:pPr>
    <w:rPr>
      <w:b/>
      <w:sz w:val="24"/>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firstLineChars="0"/>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firstLineChars="0"/>
      <w:outlineLvl w:val="8"/>
    </w:pPr>
    <w:rPr>
      <w:rFonts w:ascii="Arial" w:hAnsi="Arial" w:eastAsia="黑体"/>
      <w:sz w:val="21"/>
    </w:rPr>
  </w:style>
  <w:style w:type="character" w:default="1" w:styleId="22">
    <w:name w:val="Default Paragraph Font"/>
    <w:semiHidden/>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rPr>
      <w:rFonts w:ascii="宋体" w:hAnsi="宋体" w:eastAsia="宋体" w:cs="宋体"/>
      <w:sz w:val="31"/>
      <w:szCs w:val="31"/>
      <w:lang w:val="en-US" w:eastAsia="en-US" w:bidi="ar-SA"/>
    </w:rPr>
  </w:style>
  <w:style w:type="paragraph" w:styleId="12">
    <w:name w:val="annotation text"/>
    <w:basedOn w:val="1"/>
    <w:qFormat/>
    <w:uiPriority w:val="0"/>
    <w:pPr>
      <w:jc w:val="left"/>
    </w:pPr>
  </w:style>
  <w:style w:type="paragraph" w:styleId="13">
    <w:name w:val="Body Text Indent"/>
    <w:basedOn w:val="1"/>
    <w:qFormat/>
    <w:uiPriority w:val="0"/>
    <w:pPr>
      <w:spacing w:line="300" w:lineRule="auto"/>
      <w:ind w:firstLine="420"/>
    </w:pPr>
    <w:rPr>
      <w:szCs w:val="20"/>
    </w:rPr>
  </w:style>
  <w:style w:type="paragraph" w:styleId="14">
    <w:name w:val="footer"/>
    <w:basedOn w:val="1"/>
    <w:qFormat/>
    <w:uiPriority w:val="0"/>
    <w:pPr>
      <w:tabs>
        <w:tab w:val="center" w:pos="4153"/>
        <w:tab w:val="right" w:pos="8306"/>
      </w:tabs>
      <w:snapToGrid w:val="0"/>
      <w:jc w:val="left"/>
    </w:pPr>
    <w:rPr>
      <w:kern w:val="2"/>
      <w:sz w:val="18"/>
      <w:szCs w:val="18"/>
    </w:rPr>
  </w:style>
  <w:style w:type="paragraph" w:styleId="15">
    <w:name w:val="header"/>
    <w:basedOn w:val="1"/>
    <w:next w:val="14"/>
    <w:qFormat/>
    <w:uiPriority w:val="0"/>
    <w:pPr>
      <w:pBdr>
        <w:bottom w:val="single" w:color="auto" w:sz="6" w:space="1"/>
      </w:pBdr>
      <w:tabs>
        <w:tab w:val="center" w:pos="4153"/>
        <w:tab w:val="right" w:pos="8306"/>
      </w:tabs>
      <w:snapToGrid w:val="0"/>
      <w:jc w:val="center"/>
    </w:pPr>
    <w:rPr>
      <w:kern w:val="2"/>
      <w:sz w:val="18"/>
      <w:szCs w:val="18"/>
    </w:rPr>
  </w:style>
  <w:style w:type="paragraph" w:styleId="16">
    <w:name w:val="toc 1"/>
    <w:basedOn w:val="1"/>
    <w:next w:val="1"/>
    <w:qFormat/>
    <w:uiPriority w:val="0"/>
  </w:style>
  <w:style w:type="paragraph" w:styleId="17">
    <w:name w:val="toc 2"/>
    <w:basedOn w:val="1"/>
    <w:next w:val="1"/>
    <w:qFormat/>
    <w:uiPriority w:val="0"/>
    <w:pPr>
      <w:ind w:left="420" w:leftChars="200"/>
    </w:pPr>
  </w:style>
  <w:style w:type="paragraph" w:styleId="18">
    <w:name w:val="Title"/>
    <w:next w:val="19"/>
    <w:qFormat/>
    <w:uiPriority w:val="0"/>
    <w:pPr>
      <w:keepLines/>
      <w:pageBreakBefore/>
      <w:widowControl w:val="0"/>
      <w:spacing w:before="240" w:after="120"/>
      <w:jc w:val="center"/>
      <w:outlineLvl w:val="0"/>
    </w:pPr>
    <w:rPr>
      <w:rFonts w:ascii="Times New Roman" w:hAnsi="Times New Roman" w:eastAsia="黑体" w:cs="Times New Roman"/>
      <w:b/>
      <w:kern w:val="2"/>
      <w:sz w:val="36"/>
      <w:lang w:val="en-US" w:eastAsia="zh-CN" w:bidi="ar-SA"/>
    </w:rPr>
  </w:style>
  <w:style w:type="paragraph" w:styleId="19">
    <w:name w:val="Body Text First Indent"/>
    <w:basedOn w:val="1"/>
    <w:qFormat/>
    <w:uiPriority w:val="99"/>
    <w:pPr>
      <w:ind w:firstLine="498"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qFormat/>
    <w:uiPriority w:val="0"/>
    <w:rPr>
      <w:sz w:val="21"/>
      <w:szCs w:val="21"/>
    </w:rPr>
  </w:style>
  <w:style w:type="paragraph" w:customStyle="1" w:styleId="24">
    <w:name w:val="Table Text"/>
    <w:basedOn w:val="1"/>
    <w:semiHidden/>
    <w:qFormat/>
    <w:uiPriority w:val="0"/>
    <w:pPr>
      <w:spacing w:line="240" w:lineRule="auto"/>
      <w:ind w:firstLine="0" w:firstLineChars="0"/>
      <w:jc w:val="center"/>
    </w:pPr>
    <w:rPr>
      <w:rFonts w:ascii="Times New Roman" w:hAnsi="Times New Roman" w:eastAsia="宋体"/>
      <w:sz w:val="21"/>
      <w:szCs w:val="21"/>
      <w:lang w:eastAsia="en-US"/>
    </w:rPr>
  </w:style>
  <w:style w:type="paragraph" w:customStyle="1" w:styleId="25">
    <w:name w:val="表头、图名"/>
    <w:basedOn w:val="1"/>
    <w:qFormat/>
    <w:uiPriority w:val="0"/>
    <w:pPr>
      <w:spacing w:line="240" w:lineRule="auto"/>
      <w:ind w:firstLine="0" w:firstLineChars="0"/>
      <w:jc w:val="center"/>
    </w:pPr>
    <w:rPr>
      <w:rFonts w:ascii="Times New Roman" w:hAnsi="Times New Roman" w:eastAsia="黑体" w:cs="Times New Roman"/>
      <w:sz w:val="21"/>
      <w:szCs w:val="21"/>
    </w:rPr>
  </w:style>
  <w:style w:type="paragraph" w:customStyle="1" w:styleId="26">
    <w:name w:val="条文说明"/>
    <w:basedOn w:val="1"/>
    <w:qFormat/>
    <w:uiPriority w:val="0"/>
    <w:pPr>
      <w:widowControl w:val="0"/>
      <w:shd w:val="clear"/>
      <w:spacing w:line="240" w:lineRule="auto"/>
      <w:ind w:firstLine="640" w:firstLineChars="200"/>
      <w:jc w:val="left"/>
    </w:pPr>
    <w:rPr>
      <w:rFonts w:hint="eastAsia" w:ascii="Times New Roman" w:hAnsi="Times New Roman" w:eastAsia="仿宋"/>
      <w:color w:val="000000" w:themeColor="text1"/>
      <w:kern w:val="0"/>
      <w:szCs w:val="24"/>
      <w:lang w:bidi="ar"/>
      <w14:textFill>
        <w14:solidFill>
          <w14:schemeClr w14:val="tx1"/>
        </w14:solidFill>
      </w14:textFill>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注释-单行"/>
    <w:basedOn w:val="1"/>
    <w:qFormat/>
    <w:uiPriority w:val="0"/>
    <w:pPr>
      <w:spacing w:line="240" w:lineRule="auto"/>
      <w:ind w:left="1120" w:leftChars="200" w:hanging="640" w:hangingChars="200"/>
    </w:pPr>
    <w:rPr>
      <w:rFonts w:ascii="Times New Roman" w:hAnsi="Times New Roman" w:eastAsia="仿宋"/>
      <w:color w:val="000000" w:themeColor="text1"/>
      <w:sz w:val="21"/>
      <w:szCs w:val="21"/>
      <w14:textFill>
        <w14:solidFill>
          <w14:schemeClr w14:val="tx1"/>
        </w14:solidFill>
      </w14:textFill>
    </w:rPr>
  </w:style>
  <w:style w:type="paragraph" w:customStyle="1" w:styleId="29">
    <w:name w:val="分块标题"/>
    <w:basedOn w:val="1"/>
    <w:next w:val="1"/>
    <w:link w:val="32"/>
    <w:qFormat/>
    <w:uiPriority w:val="0"/>
    <w:pPr>
      <w:numPr>
        <w:ilvl w:val="2"/>
        <w:numId w:val="4"/>
      </w:numPr>
      <w:adjustRightInd/>
      <w:snapToGrid/>
      <w:spacing w:line="240" w:lineRule="auto"/>
      <w:ind w:left="0" w:firstLineChars="0"/>
      <w:jc w:val="center"/>
      <w:textAlignment w:val="auto"/>
      <w:outlineLvl w:val="2"/>
    </w:pPr>
    <w:rPr>
      <w:rFonts w:ascii="Times New Roman" w:hAnsi="Times New Roman" w:eastAsia="宋体"/>
      <w:color w:val="auto"/>
      <w:sz w:val="24"/>
    </w:rPr>
  </w:style>
  <w:style w:type="paragraph" w:customStyle="1" w:styleId="30">
    <w:name w:val="修改建议"/>
    <w:basedOn w:val="1"/>
    <w:qFormat/>
    <w:uiPriority w:val="0"/>
    <w:pPr>
      <w:pBdr>
        <w:top w:val="single" w:color="auto" w:sz="4" w:space="1"/>
        <w:left w:val="single" w:color="auto" w:sz="4" w:space="4"/>
        <w:bottom w:val="single" w:color="auto" w:sz="4" w:space="1"/>
        <w:right w:val="single" w:color="auto" w:sz="4" w:space="4"/>
      </w:pBdr>
      <w:shd w:val="clear"/>
      <w:jc w:val="left"/>
    </w:pPr>
    <w:rPr>
      <w:rFonts w:ascii="Times New Roman" w:hAnsi="Times New Roman" w:eastAsia="宋体" w:cs="Times New Roman"/>
      <w:b/>
      <w:color w:val="00B050"/>
      <w:sz w:val="20"/>
      <w:szCs w:val="24"/>
    </w:rPr>
  </w:style>
  <w:style w:type="paragraph" w:customStyle="1" w:styleId="31">
    <w:name w:val="编制依据"/>
    <w:basedOn w:val="1"/>
    <w:qFormat/>
    <w:uiPriority w:val="0"/>
    <w:pPr>
      <w:pBdr>
        <w:top w:val="single" w:color="auto" w:sz="4" w:space="1"/>
        <w:left w:val="single" w:color="auto" w:sz="4" w:space="4"/>
        <w:bottom w:val="single" w:color="auto" w:sz="4" w:space="1"/>
        <w:right w:val="single" w:color="auto" w:sz="4" w:space="4"/>
      </w:pBdr>
      <w:shd w:val="clear" w:color="auto" w:fill="D8D8D8" w:themeFill="background1" w:themeFillShade="D9"/>
    </w:pPr>
    <w:rPr>
      <w:rFonts w:ascii="Times New Roman" w:hAnsi="Times New Roman" w:eastAsia="宋体"/>
      <w:color w:val="00B050"/>
    </w:rPr>
  </w:style>
  <w:style w:type="character" w:customStyle="1" w:styleId="32">
    <w:name w:val="分块标题 Char"/>
    <w:link w:val="29"/>
    <w:qFormat/>
    <w:uiPriority w:val="0"/>
    <w:rPr>
      <w:rFonts w:ascii="Times New Roman" w:hAnsi="Times New Roman" w:eastAsia="宋体"/>
      <w:color w:val="auto"/>
      <w:sz w:val="24"/>
    </w:rPr>
  </w:style>
  <w:style w:type="paragraph" w:styleId="33">
    <w:name w:val="List Paragraph"/>
    <w:basedOn w:val="1"/>
    <w:qFormat/>
    <w:uiPriority w:val="34"/>
    <w:pPr>
      <w:ind w:firstLine="420" w:firstLineChars="200"/>
    </w:pPr>
  </w:style>
  <w:style w:type="paragraph" w:customStyle="1" w:styleId="34">
    <w:name w:val="附录"/>
    <w:basedOn w:val="1"/>
    <w:qFormat/>
    <w:uiPriority w:val="0"/>
    <w:pPr>
      <w:numPr>
        <w:ilvl w:val="0"/>
        <w:numId w:val="5"/>
      </w:numPr>
      <w:spacing w:line="360" w:lineRule="auto"/>
      <w:ind w:firstLine="0" w:firstLineChars="0"/>
      <w:jc w:val="center"/>
      <w:outlineLvl w:val="0"/>
    </w:pPr>
    <w:rPr>
      <w:rFonts w:hint="eastAsia" w:ascii="Times New Roman" w:hAnsi="Times New Roman" w:eastAsia="宋体"/>
      <w:b/>
    </w:rPr>
  </w:style>
  <w:style w:type="paragraph" w:customStyle="1" w:styleId="35">
    <w:name w:val="样式1"/>
    <w:basedOn w:val="1"/>
    <w:qFormat/>
    <w:uiPriority w:val="0"/>
  </w:style>
  <w:style w:type="paragraph" w:customStyle="1" w:styleId="36">
    <w:name w:val="正文-款"/>
    <w:basedOn w:val="1"/>
    <w:qFormat/>
    <w:uiPriority w:val="0"/>
    <w:pPr>
      <w:numPr>
        <w:ilvl w:val="3"/>
        <w:numId w:val="1"/>
      </w:numPr>
      <w:spacing w:line="300" w:lineRule="auto"/>
      <w:ind w:left="0" w:leftChars="0" w:firstLine="402" w:firstLineChars="0"/>
    </w:pPr>
    <w:rPr>
      <w:rFonts w:hint="eastAsia" w:ascii="Times New Roman" w:hAnsi="Times New Roman" w:eastAsia="宋体"/>
    </w:rPr>
  </w:style>
  <w:style w:type="paragraph" w:customStyle="1" w:styleId="37">
    <w:name w:val="正文-项"/>
    <w:basedOn w:val="1"/>
    <w:qFormat/>
    <w:uiPriority w:val="0"/>
    <w:pPr>
      <w:numPr>
        <w:ilvl w:val="4"/>
        <w:numId w:val="1"/>
      </w:numPr>
      <w:spacing w:line="300" w:lineRule="auto"/>
      <w:ind w:left="1200" w:leftChars="300" w:hanging="480" w:hangingChars="150"/>
    </w:pPr>
    <w:rPr>
      <w:rFonts w:hint="eastAsia" w:ascii="Times New Roman" w:hAnsi="Times New Roman" w:eastAsia="宋体"/>
    </w:rPr>
  </w:style>
  <w:style w:type="paragraph" w:customStyle="1" w:styleId="38">
    <w:name w:val="注释-其他行"/>
    <w:basedOn w:val="1"/>
    <w:qFormat/>
    <w:uiPriority w:val="0"/>
    <w:pPr>
      <w:spacing w:line="240" w:lineRule="auto"/>
      <w:ind w:left="1208" w:leftChars="370" w:hanging="320" w:hangingChars="100"/>
    </w:pPr>
    <w:rPr>
      <w:rFonts w:hint="eastAsia" w:ascii="Times New Roman" w:hAnsi="Times New Roman" w:eastAsia="仿宋"/>
      <w:color w:val="000000" w:themeColor="text1"/>
      <w:sz w:val="21"/>
      <w:szCs w:val="21"/>
      <w14:textFill>
        <w14:solidFill>
          <w14:schemeClr w14:val="tx1"/>
        </w14:solidFill>
      </w14:textFill>
    </w:rPr>
  </w:style>
  <w:style w:type="paragraph" w:customStyle="1" w:styleId="39">
    <w:name w:val="注释-首行"/>
    <w:basedOn w:val="1"/>
    <w:qFormat/>
    <w:uiPriority w:val="0"/>
    <w:pPr>
      <w:spacing w:line="240" w:lineRule="auto"/>
      <w:ind w:left="1440" w:leftChars="200" w:hanging="960" w:hangingChars="300"/>
    </w:pPr>
    <w:rPr>
      <w:rFonts w:hint="eastAsia" w:ascii="Times New Roman" w:hAnsi="Times New Roman" w:eastAsia="仿宋"/>
      <w:color w:val="000000" w:themeColor="text1"/>
      <w:sz w:val="21"/>
      <w:szCs w:val="21"/>
      <w14:textFill>
        <w14:solidFill>
          <w14:schemeClr w14:val="tx1"/>
        </w14:solidFill>
      </w14:textFill>
    </w:rPr>
  </w:style>
  <w:style w:type="paragraph" w:customStyle="1" w:styleId="40">
    <w:name w:val="标准文件_一级条标题"/>
    <w:basedOn w:val="41"/>
    <w:next w:val="42"/>
    <w:qFormat/>
    <w:uiPriority w:val="0"/>
    <w:pPr>
      <w:numPr>
        <w:ilvl w:val="2"/>
      </w:numPr>
      <w:spacing w:before="50" w:beforeLines="50" w:after="50" w:afterLines="50"/>
      <w:outlineLvl w:val="1"/>
    </w:pPr>
  </w:style>
  <w:style w:type="paragraph" w:customStyle="1" w:styleId="41">
    <w:name w:val="标准文件_章标题"/>
    <w:next w:val="42"/>
    <w:qFormat/>
    <w:uiPriority w:val="0"/>
    <w:pPr>
      <w:numPr>
        <w:ilvl w:val="1"/>
        <w:numId w:val="6"/>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42">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3">
    <w:name w:val="章标题(不加入目录内)"/>
    <w:basedOn w:val="18"/>
    <w:qFormat/>
    <w:uiPriority w:val="0"/>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extobjs>
    <extobj name="F360BE8B-6686-4F3D-AEAF-501FE73E4058-1">
      <extobjdata type="F360BE8B-6686-4F3D-AEAF-501FE73E4058" data="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"/>
    </extobj>
    <extobj name="F360BE8B-6686-4F3D-AEAF-501FE73E4058-2">
      <extobjdata type="F360BE8B-6686-4F3D-AEAF-501FE73E4058" data="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"/>
    </extobj>
  </extobjs>
</s:customData>
</file>

<file path=customXml/item2.xml><?xml version="1.0" encoding="utf-8"?>
<contractReview xmlns="http://schemas.wps.cn/vas-ai-hub/contract-review">
  <reviewItems>
    <reviewItem>
      <errorID>13e3cf16-2018-4943-b48b-a9a41c73eec2</errorID>
      <errorWord>等等</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5ACA613D</paraID>
      <start>51</start>
      <end>53</end>
      <status>unmodified</status>
      <modifiedWord/>
      <trackRevisions>false</trackRevisions>
    </reviewItem>
    <reviewItem>
      <errorID>73c15116-e8ca-4c82-aeb7-d07a7c49abd1</errorID>
      <errorWord>涵义</errorWord>
      <group>L1_Word</group>
      <groupName>字词问题</groupName>
      <ability>L2_Alias</ability>
      <abilityName>也作/曾用词</abilityName>
      <candidateList>
        <item>含义</item>
      </candidateList>
      <explain>词汇[涵义]为不规范表述或旧称，其规范书面表述为[含义]。</explain>
      <paraID>1C013FD5</paraID>
      <start>32</start>
      <end>34</end>
      <status>unmodified</status>
      <modifiedWord/>
      <trackRevisions>false</trackRevisions>
    </reviewItem>
    <reviewItem>
      <errorID>4f0573df-9d62-4aa4-a3f7-54aa83aede2f</errorID>
      <errorWord>涵义</errorWord>
      <group>L1_Word</group>
      <groupName>字词问题</groupName>
      <ability>L2_Alias</ability>
      <abilityName>也作/曾用词</abilityName>
      <candidateList>
        <item>含义</item>
      </candidateList>
      <explain>词汇[涵义]为不规范表述或旧称，其规范书面表述为[含义]。</explain>
      <paraID>1C013FD5</paraID>
      <start>38</start>
      <end>40</end>
      <status>unmodified</status>
      <modifiedWord/>
      <trackRevisions>false</trackRevisions>
    </reviewItem>
    <reviewItem>
      <errorID>42967282-e559-4247-abfc-fd1aec6ff06a</errorID>
      <errorWord>其它术语</errorWord>
      <group>L1_Word</group>
      <groupName>字词问题</groupName>
      <ability>L2_Alias</ability>
      <abilityName>也作/曾用词</abilityName>
      <candidateList>
        <item>其他术语</item>
      </candidateList>
      <explain>词汇[其它术语]为不规范表述或旧称，其规范书面表述为[其他术语]。</explain>
      <paraID>35A0957C</paraID>
      <start>13</start>
      <end>21</end>
      <status>modified</status>
      <modifiedWord>其他术语</modifiedWord>
      <trackRevisions>true</trackRevisions>
    </reviewItem>
    <reviewItem>
      <errorID>57932f7a-1acc-412c-81b6-33eff2811b23</errorID>
      <errorWord>范</errorWord>
      <group>L1_Word</group>
      <groupName>字词问题</groupName>
      <ability>L2_Typo</ability>
      <abilityName>字词错误</abilityName>
      <candidateList>
        <item>范和</item>
      </candidateList>
      <explain/>
      <paraID>2DCB05FC</paraID>
      <start>34</start>
      <end>35</end>
      <status>unmodified</status>
      <modifiedWord/>
      <trackRevisions>false</trackRevisions>
    </reviewItem>
    <reviewItem>
      <errorID>a684afe1-fec8-468e-9d19-8fc56d164833</errorID>
      <errorWord>受损等</errorWord>
      <group>L1_Word</group>
      <groupName>字词问题</groupName>
      <ability>L2_Typo</ability>
      <abilityName>字词错误</abilityName>
      <candidateList>
        <item>受损</item>
      </candidateList>
      <explain/>
      <paraID>1B8610A9</paraID>
      <start>58</start>
      <end>61</end>
      <status>unmodified</status>
      <modifiedWord/>
      <trackRevisions>false</trackRevisions>
    </reviewItem>
    <reviewItem>
      <errorID>115f4ba9-3c5c-4ac3-bda5-5a078067d180</errorID>
      <errorWord>等等</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1B8610A9</paraID>
      <start>66</start>
      <end>69</end>
      <status>modified</status>
      <modifiedWord>等</modifiedWord>
      <trackRevisions>true</trackRevisions>
    </reviewItem>
    <reviewItem>
      <errorID>7145c364-f045-42d7-be82-9f930a47ef75</errorID>
      <errorWord>、</errorWord>
      <group>L1_Punc</group>
      <groupName>标点问题</groupName>
      <ability>L2_Punc</ability>
      <abilityName>标点符号检查</abilityName>
      <candidateList/>
      <explain/>
      <paraID>14609281</paraID>
      <start>2</start>
      <end>3</end>
      <status>unmodified</status>
      <modifiedWord/>
      <trackRevisions>false</trackRevisions>
    </reviewItem>
    <reviewItem>
      <errorID>febf63dd-d5b8-40e3-9a7c-0355e5003528</errorID>
      <errorWord>接收</errorWord>
      <group>L1_Word</group>
      <groupName>字词问题</groupName>
      <ability>L2_Typo</ability>
      <abilityName>字词错误</abilityName>
      <candidateList>
        <item>接受</item>
      </candidateList>
      <explain>〈动〉❶收取（给予的东西）：～礼品｜～捐款。❷对事物容纳而不拒绝：～任务｜～考验｜～教训｜虚心～批评。</explain>
      <paraID>30C7D0D7</paraID>
      <start>4</start>
      <end>6</end>
      <status>unmodified</status>
      <modifiedWord/>
      <trackRevisions>false</trackRevisions>
    </reviewItem>
    <reviewItem>
      <errorID>993c5ab2-877b-455b-8274-ec6fc6ba2cdf</errorID>
      <errorWord>对微</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3AA3EE47</paraID>
      <start>44</start>
      <end>46</end>
      <status>unmodified</status>
      <modifiedWord/>
      <trackRevisions>false</trackRevisions>
    </reviewItem>
    <reviewItem>
      <errorID>5d5df9a2-5d22-4756-a28a-3b1df44300e8</errorID>
      <errorWord>全数</errorWord>
      <group>L1_Word</group>
      <groupName>字词问题</groupName>
      <ability>L2_Typo</ability>
      <abilityName>字词错误</abilityName>
      <candidateList>
        <item>全面</item>
      </candidateList>
      <explain>❶〈名〉所有方面；各个方面的总和：照顾～｜～情况。❷〈形〉完整周密；兼顾各方面的（跟“片面”相对）：～发展｜他的讲话很～。</explain>
      <paraID>31258472</paraID>
      <start>16</start>
      <end>18</end>
      <status>unmodified</status>
      <modifiedWord/>
      <trackRevisions>false</trackRevisions>
    </reviewItem>
    <reviewItem>
      <errorID>ede30377-4f1c-44c9-b55e-808e192c3ce2</errorID>
      <errorWord>生产王艺</errorWord>
      <group>L1_Word</group>
      <groupName>字词问题</groupName>
      <ability>L2_Typo</ability>
      <abilityName>字词错误</abilityName>
      <candidateList>
        <item>生产工艺</item>
      </candidateList>
      <explain/>
      <paraID>6A653C76</paraID>
      <start>42</start>
      <end>50</end>
      <status>modified</status>
      <modifiedWord>生产工艺</modifiedWord>
      <trackRevisions>true</trackRevisions>
    </reviewItem>
    <reviewItem>
      <errorID>4569ab5a-6ecc-44b2-969f-3639c1f8871b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3C472D30</paraID>
      <start>0</start>
      <end>4</end>
      <status>modified</status>
      <modifiedWord>5）</modifiedWord>
      <trackRevisions>true</trackRevisions>
    </reviewItem>
    <reviewItem>
      <errorID>e1f4e8ad-59e9-4d70-9ca4-35ecb9989198</errorID>
      <errorWord>支承</errorWord>
      <group>L1_Word</group>
      <groupName>字词问题</groupName>
      <ability>L2_Typo</ability>
      <abilityName>字词错误</abilityName>
      <candidateList>
        <item>支撑</item>
      </candidateList>
      <explain>〈动〉❶抵抗住压力使东西不倒塌：坑道里用柱子～着。❷勉强维持：他～着坐起来，头还在发晕｜一家的生活由他一人～。</explain>
      <paraID> 459C146</paraID>
      <start>2</start>
      <end>4</end>
      <status>unmodified</status>
      <modifiedWord/>
      <trackRevisions>false</trackRevisions>
    </reviewItem>
    <reviewItem>
      <errorID>7c60ce22-edde-411d-be3f-7069654244ba</errorID>
      <errorWord>(</errorWord>
      <group>L1_Format</group>
      <groupName>格式问题</groupName>
      <ability>L2_HalfPunc</ability>
      <abilityName>全半角检查</abilityName>
      <candidateList>
        <item>（</item>
      </candidateList>
      <explain>文本全半角错误。</explain>
      <paraID>700B6A81</paraID>
      <start>6</start>
      <end>7</end>
      <status>unmodified</status>
      <modifiedWord/>
      <trackRevisions>false</trackRevisions>
    </reviewItem>
    <reviewItem>
      <errorID>507c0b89-e0db-46e7-8ffd-cecdbe2704bb</errorID>
      <errorWord>)</errorWord>
      <group>L1_Format</group>
      <groupName>格式问题</groupName>
      <ability>L2_HalfPunc</ability>
      <abilityName>全半角检查</abilityName>
      <candidateList>
        <item>）</item>
      </candidateList>
      <explain>文本全半角错误。</explain>
      <paraID>700B6A81</paraID>
      <start>9</start>
      <end>10</end>
      <status>unmodified</status>
      <modifiedWord/>
      <trackRevisions>false</trackRevisions>
    </reviewItem>
    <reviewItem>
      <errorID>9f62ced0-d7f3-4439-95e9-ec0c50bb8628</errorID>
      <errorWord>支承</errorWord>
      <group>L1_Word</group>
      <groupName>字词问题</groupName>
      <ability>L2_Typo</ability>
      <abilityName>字词错误</abilityName>
      <candidateList>
        <item>支撑</item>
      </candidateList>
      <explain>〈动〉❶抵抗住压力使东西不倒塌：坑道里用柱子～着。❷勉强维持：他～着坐起来，头还在发晕｜一家的生活由他一人～。</explain>
      <paraID>69494BA0</paraID>
      <start>2</start>
      <end>4</end>
      <status>unmodified</status>
      <modifiedWord/>
      <trackRevisions>false</trackRevisions>
    </reviewItem>
    <reviewItem>
      <errorID>758998b0-609d-4df6-8aae-501395cc2262</errorID>
      <errorWord>其它同类</errorWord>
      <group>L1_Word</group>
      <groupName>字词问题</groupName>
      <ability>L2_Alias</ability>
      <abilityName>也作/曾用词</abilityName>
      <candidateList>
        <item>其他同类</item>
      </candidateList>
      <explain>词汇[其它同类]为不规范表述或旧称，其规范书面表述为[其他同类]。</explain>
      <paraID>3E8BE092</paraID>
      <start>90</start>
      <end>98</end>
      <status>modified</status>
      <modifiedWord>其他同类</modifiedWord>
      <trackRevisions>true</trackRevisions>
    </reviewItem>
    <reviewItem>
      <errorID>326470a7-2a5f-45f3-9ce8-0e65e0a3a158</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784DCEBA</paraID>
      <start>41</start>
      <end>43</end>
      <status>unmodified</status>
      <modifiedWord/>
      <trackRevisions>false</trackRevisions>
    </reviewItem>
    <reviewItem>
      <errorID>1e0c81ce-2305-45d2-8cd5-b1cc47a97693</errorID>
      <errorWord>其它</errorWord>
      <group>L1_Word</group>
      <groupName>字词问题</groupName>
      <ability>L2_Alias</ability>
      <abilityName>也作/曾用词</abilityName>
      <candidateList>
        <item>其他</item>
      </candidateList>
      <explain>词汇[其它]为不规范表述或旧称，其规范书面表述为[其他]。</explain>
      <paraID>212B22AC</paraID>
      <start>46</start>
      <end>50</end>
      <status>modified</status>
      <modifiedWord>其他</modifiedWord>
      <trackRevisions>true</trackRevisions>
    </reviewItem>
    <reviewItem>
      <errorID>1cbccaa5-18cb-4556-bb22-e7fac2fbd210</errorID>
      <errorWord>复核复核</errorWord>
      <group>L1_Word</group>
      <groupName>字词问题</groupName>
      <ability>L2_Typo</ability>
      <abilityName>字词错误</abilityName>
      <candidateList>
        <item>复核</item>
      </candidateList>
      <explain>〈动〉❶审查核对：把报告里面的数字～一下。❷法院判处死刑案件的特定司法程序。在我国指最高人民法院和依法授权的高级人民法院对于判处死刑的案件做再一次的审核，高级人民法院对于判处死刑缓期执行的案件做再一次的审核。</explain>
      <paraID>212B22AC</paraID>
      <start>102</start>
      <end>108</end>
      <status>modified</status>
      <modifiedWord>复核</modifiedWord>
      <trackRevisions>true</trackRevisions>
    </reviewItem>
    <reviewItem>
      <errorID>4a5fa9cb-159a-42cd-8929-9ccbbfcc994e</errorID>
      <errorWord>不用</errorWord>
      <group>L1_Word</group>
      <groupName>字词问题</groupName>
      <ability>L2_Typo</ability>
      <abilityName>字词错误</abilityName>
      <candidateList>
        <item>不同</item>
      </candidateList>
      <explain/>
      <paraID>4ABF9768</paraID>
      <start>131</start>
      <end>135</end>
      <status>modified</status>
      <modifiedWord>不同</modifiedWord>
      <trackRevisions>true</trackRevisions>
    </reviewItem>
    <reviewItem>
      <errorID>e7359107-a977-42aa-bac5-4fb0f3596db4</errorID>
      <errorWord>微</errorWord>
      <group>L1_Word</group>
      <groupName>字词问题</groupName>
      <ability>L2_Typo</ability>
      <abilityName>字词错误</abilityName>
      <candidateList>
        <item>未</item>
      </candidateList>
      <explain>存在发音相同字词的误用。</explain>
      <paraID>3734429C</paraID>
      <start>8</start>
      <end>9</end>
      <status>unmodified</status>
      <modifiedWord/>
      <trackRevisions>false</trackRevisions>
    </reviewItem>
    <reviewItem>
      <errorID>ebc1afee-b65d-447f-b7f0-661b89646986</errorID>
      <errorWord>(</errorWord>
      <group>L1_Format</group>
      <groupName>格式问题</groupName>
      <ability>L2_HalfPunc</ability>
      <abilityName>全半角检查</abilityName>
      <candidateList>
        <item>（</item>
      </candidateList>
      <explain>文本全半角错误。</explain>
      <paraID>39E15DB4</paraID>
      <start>14</start>
      <end>15</end>
      <status>unmodified</status>
      <modifiedWord/>
      <trackRevisions>false</trackRevisions>
    </reviewItem>
    <reviewItem>
      <errorID>3aa9496b-00e1-4585-97e1-b0ee75d41ddc</errorID>
      <errorWord>)</errorWord>
      <group>L1_Format</group>
      <groupName>格式问题</groupName>
      <ability>L2_HalfPunc</ability>
      <abilityName>全半角检查</abilityName>
      <candidateList>
        <item>）</item>
      </candidateList>
      <explain>文本全半角错误。</explain>
      <paraID>39E15DB4</paraID>
      <start>17</start>
      <end>18</end>
      <status>unmodified</status>
      <modifiedWord/>
      <trackRevisions>false</trackRevisions>
    </reviewItem>
    <reviewItem>
      <errorID>f23b531e-2d6a-4937-998d-3c1d31454487</errorID>
      <errorWord>主要承重构件及其连接为主</errorWord>
      <group>L1_Grammar</group>
      <groupName>语法问题</groupName>
      <ability>L2_Grammar</ability>
      <abilityName>语法错误</abilityName>
      <candidateList>
        <item>承重构件及其连接为主</item>
      </candidateList>
      <explain/>
      <paraID>39E15DB4</paraID>
      <start>79</start>
      <end>91</end>
      <status>unmodified</status>
      <modifiedWord/>
      <trackRevisions>false</trackRevisions>
    </reviewItem>
    <reviewItem>
      <errorID>c95c120d-52c3-401a-9bf2-0e4282e55473</errorID>
      <errorWord>安全性微</errorWord>
      <group>L1_Word</group>
      <groupName>字词问题</groupName>
      <ability>L2_Typo</ability>
      <abilityName>字词错误</abilityName>
      <candidateList>
        <item>安全性</item>
      </candidateList>
      <explain/>
      <paraID>6229C39F</paraID>
      <start>4</start>
      <end>8</end>
      <status>unmodified</status>
      <modifiedWord/>
      <trackRevisions>false</trackRevisions>
    </reviewItem>
    <reviewItem>
      <errorID>27f4ba68-7031-4304-a555-976a078bff59</errorID>
      <errorWord>其它</errorWord>
      <group>L1_Word</group>
      <groupName>字词问题</groupName>
      <ability>L2_Alias</ability>
      <abilityName>也作/曾用词</abilityName>
      <candidateList>
        <item>其他</item>
      </candidateList>
      <explain>词汇[其它]为不规范表述或旧称，其规范书面表述为[其他]。</explain>
      <paraID>791EDE13</paraID>
      <start>77</start>
      <end>81</end>
      <status>modified</status>
      <modifiedWord>其他</modifiedWord>
      <trackRevisions>true</trackRevisions>
    </reviewItem>
    <reviewItem>
      <errorID>1b4605fe-5507-4b42-b0f4-9ea856266a6e</errorID>
      <errorWord>上部结构结构</errorWord>
      <group>L1_Word</group>
      <groupName>字词问题</groupName>
      <ability>L2_Typo</ability>
      <abilityName>字词错误</abilityName>
      <candidateList>
        <item>上部结构</item>
      </candidateList>
      <explain/>
      <paraID>2C4E6B07</paraID>
      <start>0</start>
      <end>6</end>
      <status>unmodified</status>
      <modifiedWord/>
      <trackRevisions>false</trackRevisions>
    </reviewItem>
    <reviewItem>
      <errorID>fb375da7-3dcb-412b-903a-c3353cc41fdc</errorID>
      <errorWord>其它</errorWord>
      <group>L1_Word</group>
      <groupName>字词问题</groupName>
      <ability>L2_Alias</ability>
      <abilityName>也作/曾用词</abilityName>
      <candidateList>
        <item>其他</item>
      </candidateList>
      <explain>词汇[其它]为不规范表述或旧称，其规范书面表述为[其他]。</explain>
      <paraID> A9EAAFC</paraID>
      <start>54</start>
      <end>58</end>
      <status>modified</status>
      <modifiedWord>其他</modifiedWord>
      <trackRevisions>true</trackRevisions>
    </reviewItem>
    <reviewItem>
      <errorID>66404ad6-1c05-48a1-8629-a07a3b4a6fa1</errorID>
      <errorWord>上部结构结构</errorWord>
      <group>L1_Word</group>
      <groupName>字词问题</groupName>
      <ability>L2_Typo</ability>
      <abilityName>字词错误</abilityName>
      <candidateList>
        <item>上部结构</item>
      </candidateList>
      <explain/>
      <paraID>3D8258A9</paraID>
      <start>0</start>
      <end>6</end>
      <status>unmodified</status>
      <modifiedWord/>
      <trackRevisions>false</trackRevisions>
    </reviewItem>
    <reviewItem>
      <errorID>64f5b631-774a-413a-bc6e-c9197f87ba3c</errorID>
      <errorWord>、</errorWord>
      <group>L1_Punc</group>
      <groupName>标点问题</groupName>
      <ability>L2_Punc</ability>
      <abilityName>标点符号检查</abilityName>
      <candidateList>
        <item>.</item>
      </candidateList>
      <explain/>
      <paraID>3572C44F</paraID>
      <start>1</start>
      <end>2</end>
      <status>unmodified</status>
      <modifiedWord/>
      <trackRevisions>false</trackRevisions>
    </reviewItem>
    <reviewItem>
      <errorID>963532d2-487c-4614-975a-8ff53bb6a283</errorID>
      <errorWord>、</errorWord>
      <group>L1_Punc</group>
      <groupName>标点问题</groupName>
      <ability>L2_Punc</ability>
      <abilityName>标点符号检查</abilityName>
      <candidateList>
        <item>.</item>
      </candidateList>
      <explain/>
      <paraID>6B09DD4E</paraID>
      <start>1</start>
      <end>2</end>
      <status>unmodified</status>
      <modifiedWord/>
      <trackRevisions>false</trackRevisions>
    </reviewItem>
    <reviewItem>
      <errorID>d48a0d90-1e6b-4110-b444-4086d18de7c1</errorID>
      <errorWord>程度定</errorWord>
      <group>L1_Word</group>
      <groupName>字词问题</groupName>
      <ability>L2_Typo</ability>
      <abilityName>字词错误</abilityName>
      <candidateList>
        <item>程度</item>
      </candidateList>
      <explain>〈名〉❶文化、教育、知识、能力等方面的水平：文化～｜自动化～。❷事物变化达到的状况：天气虽冷，还没有到上冻的～｜他的肝病已恶化到十分严重的～。</explain>
      <paraID>5F90A6BD</paraID>
      <start>321</start>
      <end>326</end>
      <status>modified</status>
      <modifiedWord>程度</modifiedWord>
      <trackRevisions>true</trackRevisions>
    </reviewItem>
    <reviewItem>
      <errorID>1ffc4c96-11ff-4f7d-a07f-3860ccd927c6</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5F90A6BD</paraID>
      <start>359</start>
      <end>361</end>
      <status>unmodified</status>
      <modifiedWord/>
      <trackRevisions>false</trackRevisions>
    </reviewItem>
    <reviewItem>
      <errorID>b8d0a78c-197e-4c34-8321-b210735f5a55</errorID>
      <errorWord>遭</errorWord>
      <group>L1_Word</group>
      <groupName>字词问题</groupName>
      <ability>L2_Typo</ability>
      <abilityName>字词错误</abilityName>
      <candidateList>
        <item>遭到</item>
      </candidateList>
      <explain/>
      <paraID>5F90A6BD</paraID>
      <start>377</start>
      <end>378</end>
      <status>unmodified</status>
      <modifiedWord/>
      <trackRevisions>false</trackRevisions>
    </reviewItem>
    <reviewItem>
      <errorID>2e3bcfb4-71ed-4fdc-833d-0a1a6d253def</errorID>
      <errorWord>其它</errorWord>
      <group>L1_Word</group>
      <groupName>字词问题</groupName>
      <ability>L2_Alias</ability>
      <abilityName>也作/曾用词</abilityName>
      <candidateList>
        <item>其他</item>
      </candidateList>
      <explain>词汇[其它]为不规范表述或旧称，其规范书面表述为[其他]。</explain>
      <paraID>44185277</paraID>
      <start>63</start>
      <end>67</end>
      <status>modified</status>
      <modifiedWord>其他</modifiedWord>
      <trackRevisions>true</trackRevisions>
    </reviewItem>
    <reviewItem>
      <errorID>36728d20-dff5-4f7e-8a23-321546276cb5</errorID>
      <errorWord>结构结构</errorWord>
      <group>L1_Word</group>
      <groupName>字词问题</groupName>
      <ability>L2_Typo</ability>
      <abilityName>字词错误</abilityName>
      <candidateList>
        <item>结构</item>
      </candidateList>
      <explain>❶〈名〉各个组成部分的搭配和排列：文章的～｜语言的～｜原子～。❷〈名〉建筑物上承担重力或外力的部分的构造：砖木～｜钢筋混凝土～。❸〈动〉组织安排（文字、情节等）：根据主线来～故事。</explain>
      <paraID>313D103B</paraID>
      <start>35</start>
      <end>39</end>
      <status>unmodified</status>
      <modifiedWord/>
      <trackRevisions>false</trackRevisions>
    </reviewItem>
    <reviewItem>
      <errorID>a4b2e5e8-e242-4bee-b61e-b381a0489070</errorID>
      <errorWord>结构结构</errorWord>
      <group>L1_Word</group>
      <groupName>字词问题</groupName>
      <ability>L2_Typo</ability>
      <abilityName>字词错误</abilityName>
      <candidateList>
        <item>结构</item>
      </candidateList>
      <explain>❶〈名〉各个组成部分的搭配和排列：文章的～｜语言的～｜原子～。❷〈名〉建筑物上承担重力或外力的部分的构造：砖木～｜钢筋混凝土～。❸〈动〉组织安排（文字、情节等）：根据主线来～故事。</explain>
      <paraID>28886531</paraID>
      <start>35</start>
      <end>39</end>
      <status>unmodified</status>
      <modifiedWord/>
      <trackRevisions>false</trackRevisions>
    </reviewItem>
    <reviewItem>
      <errorID>04f2602d-1dc7-40af-bfd3-b2b828b9a5cf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7CFE1FFD</paraID>
      <start>0</start>
      <end>2</end>
      <status>unmodified</status>
      <modifiedWord/>
      <trackRevisions>false</trackRevisions>
    </reviewItem>
    <reviewItem>
      <errorID>576416be-02d4-434b-982c-a9da7d110042</errorID>
      <errorWord>超</errorWord>
      <group>L1_Word</group>
      <groupName>字词问题</groupName>
      <ability>L2_Typo</ability>
      <abilityName>字词错误</abilityName>
      <candidateList>
        <item>超过</item>
      </candidateList>
      <explain/>
      <paraID> D10A8DE</paraID>
      <start>36</start>
      <end>37</end>
      <status>unmodified</status>
      <modifiedWord/>
      <trackRevisions>false</trackRevisions>
    </reviewItem>
    <reviewItem>
      <errorID>05fe06ae-9c6b-466e-8673-f750e716fdaa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341CC250</paraID>
      <start>0</start>
      <end>2</end>
      <status>unmodified</status>
      <modifiedWord/>
      <trackRevisions>false</trackRevisions>
    </reviewItem>
    <reviewItem>
      <errorID>24b1cd9e-a892-49c2-8ed0-2d94071b22aa</errorID>
      <errorWord>反应</errorWord>
      <group>L1_Word</group>
      <groupName>字词问题</groupName>
      <ability>L2_Typo</ability>
      <abilityName>字词错误</abilityName>
      <candidateList>
        <item>反映</item>
      </candidateList>
      <explain>〈动〉❶反照，比喻把客观事物的实质表现出来：这部小说～了现实的生活和斗争。❷把情况、意见等告诉上级或有关部门：把情况～到县里｜他～的意见值得重视。❸通常指机体接受和回答客观事物影响的活动过程。</explain>
      <paraID>285C7A5C</paraID>
      <start>24</start>
      <end>26</end>
      <status>unmodified</status>
      <modifiedWord/>
      <trackRevisions>false</trackRevisions>
    </reviewItem>
    <reviewItem>
      <errorID>3ec46b3d-aadb-474a-89fc-e8e2125b9ed8</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33BDAEB9</paraID>
      <start>30</start>
      <end>32</end>
      <status>unmodified</status>
      <modifiedWord/>
      <trackRevisions>false</trackRevisions>
    </reviewItem>
    <reviewItem>
      <errorID>1bc4bab7-72eb-4b96-861b-67b540da274e</errorID>
      <errorWord>-</errorWord>
      <group>L1_Format</group>
      <groupName>格式问题</groupName>
      <ability>L2_HalfPunc</ability>
      <abilityName>全半角检查</abilityName>
      <candidateList>
        <item>－</item>
      </candidateList>
      <explain>文本全半角错误。</explain>
      <paraID>76E5EF06</paraID>
      <start>4</start>
      <end>5</end>
      <status>unmodified</status>
      <modifiedWord/>
      <trackRevisions>false</trackRevisions>
    </reviewItem>
    <reviewItem>
      <errorID>9ebdb052-c55a-472a-a6b2-1b5f9f4a6713</errorID>
      <errorWord>(</errorWord>
      <group>L1_Format</group>
      <groupName>格式问题</groupName>
      <ability>L2_HalfPunc</ability>
      <abilityName>全半角检查</abilityName>
      <candidateList>
        <item>（</item>
      </candidateList>
      <explain>文本全半角错误。</explain>
      <paraID>2B4A4740</paraID>
      <start>5</start>
      <end>6</end>
      <status>unmodified</status>
      <modifiedWord/>
      <trackRevisions>false</trackRevisions>
    </reviewItem>
    <reviewItem>
      <errorID>631e92b7-df64-499d-b1f0-1299abd53b76</errorID>
      <errorWord>)</errorWord>
      <group>L1_Format</group>
      <groupName>格式问题</groupName>
      <ability>L2_HalfPunc</ability>
      <abilityName>全半角检查</abilityName>
      <candidateList>
        <item>）</item>
      </candidateList>
      <explain>文本全半角错误。</explain>
      <paraID>2B4A4740</paraID>
      <start>8</start>
      <end>9</end>
      <status>unmodified</status>
      <modifiedWord/>
      <trackRevisions>false</trackRevisions>
    </reviewItem>
    <reviewItem>
      <errorID>448e56ef-17c0-4240-9e24-a7cd2fae3287</errorID>
      <errorWord>交</errorWord>
      <group>L1_Word</group>
      <groupName>字词问题</groupName>
      <ability>L2_Typo</ability>
      <abilityName>字词错误</abilityName>
      <candidateList>
        <item>交接</item>
      </candidateList>
      <explain/>
      <paraID>2B4A4740</paraID>
      <start>12</start>
      <end>15</end>
      <status>modified</status>
      <modifiedWord>交接</modifiedWord>
      <trackRevisions>true</trackRevisions>
    </reviewItem>
    <reviewItem>
      <errorID>208163c8-95ce-4cb4-8ada-713f15d025b9</errorID>
      <errorWord>(</errorWord>
      <group>L1_Format</group>
      <groupName>格式问题</groupName>
      <ability>L2_HalfPunc</ability>
      <abilityName>全半角检查</abilityName>
      <candidateList>
        <item>（</item>
      </candidateList>
      <explain>文本全半角错误。</explain>
      <paraID>266B9D82</paraID>
      <start>2</start>
      <end>3</end>
      <status>unmodified</status>
      <modifiedWord/>
      <trackRevisions>false</trackRevisions>
    </reviewItem>
    <reviewItem>
      <errorID>a1da8050-f0e1-4dc4-a04b-df9f3ac8a08a</errorID>
      <errorWord>)</errorWord>
      <group>L1_Format</group>
      <groupName>格式问题</groupName>
      <ability>L2_HalfPunc</ability>
      <abilityName>全半角检查</abilityName>
      <candidateList>
        <item>）</item>
      </candidateList>
      <explain>文本全半角错误。</explain>
      <paraID>266B9D82</paraID>
      <start>5</start>
      <end>6</end>
      <status>unmodified</status>
      <modifiedWord/>
      <trackRevisions>false</trackRevisions>
    </reviewItem>
    <reviewItem>
      <errorID>9fbd60ad-e405-41d7-b248-660d671d4652</errorID>
      <errorWord>(</errorWord>
      <group>L1_Format</group>
      <groupName>格式问题</groupName>
      <ability>L2_HalfPunc</ability>
      <abilityName>全半角检查</abilityName>
      <candidateList>
        <item>（</item>
      </candidateList>
      <explain>文本全半角错误。</explain>
      <paraID>266B9D82</paraID>
      <start>30</start>
      <end>31</end>
      <status>unmodified</status>
      <modifiedWord/>
      <trackRevisions>false</trackRevisions>
    </reviewItem>
    <reviewItem>
      <errorID>d9008bc2-175c-4f4f-9860-fd245941d447</errorID>
      <errorWord>)</errorWord>
      <group>L1_Format</group>
      <groupName>格式问题</groupName>
      <ability>L2_HalfPunc</ability>
      <abilityName>全半角检查</abilityName>
      <candidateList>
        <item>）</item>
      </candidateList>
      <explain>文本全半角错误。</explain>
      <paraID>266B9D82</paraID>
      <start>33</start>
      <end>34</end>
      <status>unmodified</status>
      <modifiedWord/>
      <trackRevisions>false</trackRevisions>
    </reviewItem>
    <reviewItem>
      <errorID>a699b7dd-3b12-49eb-985a-a437d362cf5b</errorID>
      <errorWord>支承</errorWord>
      <group>L1_Word</group>
      <groupName>字词问题</groupName>
      <ability>L2_Typo</ability>
      <abilityName>字词错误</abilityName>
      <candidateList>
        <item>支撑</item>
      </candidateList>
      <explain>〈动〉❶抵抗住压力使东西不倒塌：坑道里用柱子～着。❷勉强维持：他～着坐起来，头还在发晕｜一家的生活由他一人～。</explain>
      <paraID>212F60AF</paraID>
      <start>15</start>
      <end>17</end>
      <status>unmodified</status>
      <modifiedWord/>
      <trackRevisions>false</trackRevisions>
    </reviewItem>
    <reviewItem>
      <errorID>7a231f00-03fd-4227-b6b4-818bb5a9a777</errorID>
      <errorWord>支承</errorWord>
      <group>L1_Word</group>
      <groupName>字词问题</groupName>
      <ability>L2_Typo</ability>
      <abilityName>字词错误</abilityName>
      <candidateList>
        <item>支撑</item>
      </candidateList>
      <explain>〈动〉❶抵抗住压力使东西不倒塌：坑道里用柱子～着。❷勉强维持：他～着坐起来，头还在发晕｜一家的生活由他一人～。</explain>
      <paraID>21BA3B3E</paraID>
      <start>12</start>
      <end>14</end>
      <status>unmodified</status>
      <modifiedWord/>
      <trackRevisions>false</trackRevisions>
    </reviewItem>
    <reviewItem>
      <errorID>b349b317-c3d1-4345-ad32-67348134523e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30A5B002</paraID>
      <start>24</start>
      <end>27</end>
      <status>unmodified</status>
      <modifiedWord/>
      <trackRevisions>false</trackRevisions>
    </reviewItem>
    <reviewItem>
      <errorID>64c3be91-b5ce-4870-8474-bde2e8b3a115</errorID>
      <errorWord>&gt;</errorWord>
      <group>L1_Punc</group>
      <groupName>标点问题</groupName>
      <ability>L2_Punc</ability>
      <abilityName>标点符号检查</abilityName>
      <candidateList/>
      <explain/>
      <paraID>4C87E780</paraID>
      <start>0</start>
      <end>1</end>
      <status>unmodified</status>
      <modifiedWord/>
      <trackRevisions>false</trackRevisions>
    </reviewItem>
    <reviewItem>
      <errorID>7565513d-1ab7-4a0c-9027-202d9a945daa</errorID>
      <errorWord>&gt;</errorWord>
      <group>L1_Punc</group>
      <groupName>标点问题</groupName>
      <ability>L2_Punc</ability>
      <abilityName>标点符号检查</abilityName>
      <candidateList/>
      <explain/>
      <paraID>72932E7C</paraID>
      <start>0</start>
      <end>1</end>
      <status>unmodified</status>
      <modifiedWord/>
      <trackRevisions>false</trackRevisions>
    </reviewItem>
    <reviewItem>
      <errorID>34014ee9-f051-457a-a196-90637a00f176</errorID>
      <errorWord>&gt;</errorWord>
      <group>L1_Punc</group>
      <groupName>标点问题</groupName>
      <ability>L2_Punc</ability>
      <abilityName>标点符号检查</abilityName>
      <candidateList/>
      <explain/>
      <paraID>290A6C30</paraID>
      <start>0</start>
      <end>1</end>
      <status>unmodified</status>
      <modifiedWord/>
      <trackRevisions>false</trackRevisions>
    </reviewItem>
    <reviewItem>
      <errorID>f5ebc296-9c83-4454-aa93-b1c9087aa4ca</errorID>
      <errorWord>&gt;</errorWord>
      <group>L1_Punc</group>
      <groupName>标点问题</groupName>
      <ability>L2_Punc</ability>
      <abilityName>标点符号检查</abilityName>
      <candidateList/>
      <explain/>
      <paraID>7C76495C</paraID>
      <start>0</start>
      <end>1</end>
      <status>unmodified</status>
      <modifiedWord/>
      <trackRevisions>false</trackRevisions>
    </reviewItem>
    <reviewItem>
      <errorID>6d1cb341-5f74-4eba-96bf-336aa435dbfd</errorID>
      <errorWord>&gt;</errorWord>
      <group>L1_Punc</group>
      <groupName>标点问题</groupName>
      <ability>L2_Punc</ability>
      <abilityName>标点符号检查</abilityName>
      <candidateList/>
      <explain/>
      <paraID>3B8206FC</paraID>
      <start>0</start>
      <end>1</end>
      <status>unmodified</status>
      <modifiedWord/>
      <trackRevisions>false</trackRevisions>
    </reviewItem>
    <reviewItem>
      <errorID>def3fc95-bdc4-4cd0-ba9c-5413e8ca5abf</errorID>
      <errorWord>&gt;</errorWord>
      <group>L1_Punc</group>
      <groupName>标点问题</groupName>
      <ability>L2_Punc</ability>
      <abilityName>标点符号检查</abilityName>
      <candidateList/>
      <explain/>
      <paraID>4A6CD703</paraID>
      <start>0</start>
      <end>1</end>
      <status>unmodified</status>
      <modifiedWord/>
      <trackRevisions>false</trackRevisions>
    </reviewItem>
    <reviewItem>
      <errorID>50eed8bb-d57d-4958-a650-839691684abc</errorID>
      <errorWord>没</errorWord>
      <group>L1_Word</group>
      <groupName>字词问题</groupName>
      <ability>L2_Typo</ability>
      <abilityName>字词错误</abilityName>
      <candidateList>
        <item>没有</item>
      </candidateList>
      <explain>〈副〉❶表示“已然”的否定：他还～回来｜天还～黑呢。❷表示“曾经”的否定：老张上个星期～回来过｜银行昨天～开门。</explain>
      <paraID>3EA758E3</paraID>
      <start>30</start>
      <end>33</end>
      <status>modified</status>
      <modifiedWord>没有</modifiedWord>
      <trackRevisions>true</trackRevisions>
    </reviewItem>
    <reviewItem>
      <errorID>600c3f64-b8fa-469a-9949-11e60c941563</errorID>
      <errorWord>，并</errorWord>
      <group>L1_Word</group>
      <groupName>字词问题</groupName>
      <ability>L2_Typo</ability>
      <abilityName>字词错误</abilityName>
      <candidateList>
        <item>，</item>
      </candidateList>
      <explain/>
      <paraID>4F63D677</paraID>
      <start>18</start>
      <end>21</end>
      <status>modified</status>
      <modifiedWord>，</modifiedWord>
      <trackRevisions>true</trackRevisions>
    </reviewItem>
    <reviewItem>
      <errorID>2526c329-37d0-4b30-b855-47bf96db0d6f</errorID>
      <errorWord>支承</errorWord>
      <group>L1_Word</group>
      <groupName>字词问题</groupName>
      <ability>L2_Typo</ability>
      <abilityName>字词错误</abilityName>
      <candidateList>
        <item>支撑</item>
      </candidateList>
      <explain>〈动〉❶抵抗住压力使东西不倒塌：坑道里用柱子～着。❷勉强维持：他～着坐起来，头还在发晕｜一家的生活由他一人～。</explain>
      <paraID>3C84F970</paraID>
      <start>147</start>
      <end>149</end>
      <status>unmodified</status>
      <modifiedWord/>
      <trackRevisions>false</trackRevisions>
    </reviewItem>
    <reviewItem>
      <errorID>eba98027-1b83-4b0b-8b4e-2093e5706250</errorID>
      <errorWord>-</errorWord>
      <group>L1_Format</group>
      <groupName>格式问题</groupName>
      <ability>L2_HalfPunc</ability>
      <abilityName>全半角检查</abilityName>
      <candidateList>
        <item>－</item>
      </candidateList>
      <explain>文本全半角错误。</explain>
      <paraID>4BBEAB11</paraID>
      <start>2</start>
      <end>3</end>
      <status>unmodified</status>
      <modifiedWord/>
      <trackRevisions>false</trackRevisions>
    </reviewItem>
    <reviewItem>
      <errorID>74eedcdf-8aa1-4a95-96d2-7c3ec5278df6</errorID>
      <errorWord>设二道</errorWord>
      <group>L1_Word</group>
      <groupName>字词问题</groupName>
      <ability>L2_Typo</ability>
      <abilityName>字词错误</abilityName>
      <candidateList>
        <item>设两道</item>
      </candidateList>
      <explain/>
      <paraID>69B390E3</paraID>
      <start>45</start>
      <end>48</end>
      <status>unmodified</status>
      <modifiedWord/>
      <trackRevisions>false</trackRevisions>
    </reviewItem>
    <reviewItem>
      <errorID>4805abec-47f0-4fa2-b77c-8603a06a72ce</errorID>
      <errorWord>&gt;</errorWord>
      <group>L1_Punc</group>
      <groupName>标点问题</groupName>
      <ability>L2_Punc</ability>
      <abilityName>标点符号检查</abilityName>
      <candidateList/>
      <explain/>
      <paraID>4C9F7E10</paraID>
      <start>0</start>
      <end>1</end>
      <status>unmodified</status>
      <modifiedWord/>
      <trackRevisions>false</trackRevisions>
    </reviewItem>
    <reviewItem>
      <errorID>1fc0453e-c539-49f9-9295-07fb5498a803</errorID>
      <errorWord>&gt;</errorWord>
      <group>L1_Punc</group>
      <groupName>标点问题</groupName>
      <ability>L2_Punc</ability>
      <abilityName>标点符号检查</abilityName>
      <candidateList/>
      <explain/>
      <paraID>  F2EDE1</paraID>
      <start>0</start>
      <end>1</end>
      <status>unmodified</status>
      <modifiedWord/>
      <trackRevisions>false</trackRevisions>
    </reviewItem>
    <reviewItem>
      <errorID>12ca3cbb-388d-4f90-b55b-362cd53f4a67</errorID>
      <errorWord>&gt;</errorWord>
      <group>L1_Punc</group>
      <groupName>标点问题</groupName>
      <ability>L2_Punc</ability>
      <abilityName>标点符号检查</abilityName>
      <candidateList/>
      <explain/>
      <paraID> E59FE45</paraID>
      <start>0</start>
      <end>1</end>
      <status>unmodified</status>
      <modifiedWord/>
      <trackRevisions>false</trackRevisions>
    </reviewItem>
    <reviewItem>
      <errorID>c87f79fc-3c9d-4cfb-91eb-72c674f77255</errorID>
      <errorWord>&gt;</errorWord>
      <group>L1_Punc</group>
      <groupName>标点问题</groupName>
      <ability>L2_Punc</ability>
      <abilityName>标点符号检查</abilityName>
      <candidateList/>
      <explain/>
      <paraID>7F312EAF</paraID>
      <start>0</start>
      <end>1</end>
      <status>unmodified</status>
      <modifiedWord/>
      <trackRevisions>false</trackRevisions>
    </reviewItem>
    <reviewItem>
      <errorID>89a83362-ab1f-4f41-8f8c-9aa67fd6276d</errorID>
      <errorWord>&gt;</errorWord>
      <group>L1_Punc</group>
      <groupName>标点问题</groupName>
      <ability>L2_Punc</ability>
      <abilityName>标点符号检查</abilityName>
      <candidateList/>
      <explain/>
      <paraID>6699FE02</paraID>
      <start>0</start>
      <end>1</end>
      <status>unmodified</status>
      <modifiedWord/>
      <trackRevisions>false</trackRevisions>
    </reviewItem>
    <reviewItem>
      <errorID>4e4eb8a2-c104-46b9-8982-2b3be53d3fc1</errorID>
      <errorWord>即</errorWord>
      <group>L1_Word</group>
      <groupName>字词问题</groupName>
      <ability>L2_Typo</ability>
      <abilityName>字词错误</abilityName>
      <candidateList>
        <item>就</item>
      </candidateList>
      <explain>存在发音相近字词的误用。</explain>
      <paraID>271DB561</paraID>
      <start>234</start>
      <end>235</end>
      <status>unmodified</status>
      <modifiedWord/>
      <trackRevisions>false</trackRevisions>
    </reviewItem>
    <reviewItem>
      <errorID>83e0e7a7-db30-44cd-bb1e-6465e2fbcfe6</errorID>
      <errorWord>其它</errorWord>
      <group>L1_Word</group>
      <groupName>字词问题</groupName>
      <ability>L2_Alias</ability>
      <abilityName>也作/曾用词</abilityName>
      <candidateList>
        <item>其他</item>
      </candidateList>
      <explain>词汇[其它]为不规范表述或旧称，其规范书面表述为[其他]。</explain>
      <paraID>271DB561</paraID>
      <start>248</start>
      <end>252</end>
      <status>modified</status>
      <modifiedWord>其他</modifiedWord>
      <trackRevisions>true</trackRevisions>
    </reviewItem>
    <reviewItem>
      <errorID>79d51c63-602c-4d7f-98c7-a6ce71507a09</errorID>
      <errorWord>(</errorWord>
      <group>L1_Format</group>
      <groupName>格式问题</groupName>
      <ability>L2_HalfPunc</ability>
      <abilityName>全半角检查</abilityName>
      <candidateList>
        <item>（</item>
      </candidateList>
      <explain>文本全半角错误。</explain>
      <paraID>638AFAEA</paraID>
      <start>24</start>
      <end>25</end>
      <status>unmodified</status>
      <modifiedWord/>
      <trackRevisions>false</trackRevisions>
    </reviewItem>
    <reviewItem>
      <errorID>fbf5b70b-f295-4567-a359-b413491261e6</errorID>
      <errorWord>)</errorWord>
      <group>L1_Format</group>
      <groupName>格式问题</groupName>
      <ability>L2_HalfPunc</ability>
      <abilityName>全半角检查</abilityName>
      <candidateList>
        <item>）</item>
      </candidateList>
      <explain>文本全半角错误。</explain>
      <paraID>638AFAEA</paraID>
      <start>27</start>
      <end>28</end>
      <status>unmodified</status>
      <modifiedWord/>
      <trackRevisions>false</trackRevisions>
    </reviewItem>
    <reviewItem>
      <errorID>707a2853-370d-4c40-bdad-cc22201c0d72</errorID>
      <errorWord>&gt;</errorWord>
      <group>L1_Punc</group>
      <groupName>标点问题</groupName>
      <ability>L2_Punc</ability>
      <abilityName>标点符号检查</abilityName>
      <candidateList/>
      <explain/>
      <paraID>477A865E</paraID>
      <start>0</start>
      <end>1</end>
      <status>unmodified</status>
      <modifiedWord/>
      <trackRevisions>false</trackRevisions>
    </reviewItem>
    <reviewItem>
      <errorID>9117396c-e47d-446a-990a-5356afa55761</errorID>
      <errorWord>&gt;</errorWord>
      <group>L1_Punc</group>
      <groupName>标点问题</groupName>
      <ability>L2_Punc</ability>
      <abilityName>标点符号检查</abilityName>
      <candidateList/>
      <explain/>
      <paraID>5396F484</paraID>
      <start>0</start>
      <end>1</end>
      <status>unmodified</status>
      <modifiedWord/>
      <trackRevisions>false</trackRevisions>
    </reviewItem>
    <reviewItem>
      <errorID>a8fde1cf-c5dd-46de-b5de-ed427f4766ba</errorID>
      <errorWord>&gt;</errorWord>
      <group>L1_Punc</group>
      <groupName>标点问题</groupName>
      <ability>L2_Punc</ability>
      <abilityName>标点符号检查</abilityName>
      <candidateList/>
      <explain/>
      <paraID>4895F7EC</paraID>
      <start>0</start>
      <end>1</end>
      <status>unmodified</status>
      <modifiedWord/>
      <trackRevisions>false</trackRevisions>
    </reviewItem>
    <reviewItem>
      <errorID>7ce93de5-d13b-43b8-9483-ba8627f65707</errorID>
      <errorWord>&gt;</errorWord>
      <group>L1_Punc</group>
      <groupName>标点问题</groupName>
      <ability>L2_Punc</ability>
      <abilityName>标点符号检查</abilityName>
      <candidateList/>
      <explain/>
      <paraID>1E826046</paraID>
      <start>0</start>
      <end>1</end>
      <status>unmodified</status>
      <modifiedWord/>
      <trackRevisions>false</trackRevisions>
    </reviewItem>
    <reviewItem>
      <errorID>44f2f787-6385-4111-b751-776eb1d0802d</errorID>
      <errorWord>&gt;</errorWord>
      <group>L1_Punc</group>
      <groupName>标点问题</groupName>
      <ability>L2_Punc</ability>
      <abilityName>标点符号检查</abilityName>
      <candidateList/>
      <explain/>
      <paraID>305ECD7E</paraID>
      <start>0</start>
      <end>1</end>
      <status>unmodified</status>
      <modifiedWord/>
      <trackRevisions>false</trackRevisions>
    </reviewItem>
    <reviewItem>
      <errorID>8a65a4f5-8dd4-4dd7-a616-b435a00a40dd</errorID>
      <errorWord>&gt;</errorWord>
      <group>L1_Punc</group>
      <groupName>标点问题</groupName>
      <ability>L2_Punc</ability>
      <abilityName>标点符号检查</abilityName>
      <candidateList/>
      <explain/>
      <paraID>167AF12B</paraID>
      <start>0</start>
      <end>1</end>
      <status>unmodified</status>
      <modifiedWord/>
      <trackRevisions>false</trackRevisions>
    </reviewItem>
    <reviewItem>
      <errorID>3da8583c-843a-48e0-ab0a-76ef497b105b</errorID>
      <errorWord>(</errorWord>
      <group>L1_Format</group>
      <groupName>格式问题</groupName>
      <ability>L2_HalfPunc</ability>
      <abilityName>全半角检查</abilityName>
      <candidateList>
        <item>（</item>
      </candidateList>
      <explain>文本全半角错误。</explain>
      <paraID>14F52BC6</paraID>
      <start>9</start>
      <end>10</end>
      <status>unmodified</status>
      <modifiedWord/>
      <trackRevisions>false</trackRevisions>
    </reviewItem>
    <reviewItem>
      <errorID>855ae036-b6bb-43dc-8dc6-e7076b457317</errorID>
      <errorWord>)</errorWord>
      <group>L1_Format</group>
      <groupName>格式问题</groupName>
      <ability>L2_HalfPunc</ability>
      <abilityName>全半角检查</abilityName>
      <candidateList>
        <item>）</item>
      </candidateList>
      <explain>文本全半角错误。</explain>
      <paraID>14F52BC6</paraID>
      <start>12</start>
      <end>13</end>
      <status>unmodified</status>
      <modifiedWord/>
      <trackRevisions>false</trackRevisions>
    </reviewItem>
    <reviewItem>
      <errorID>e66a89d9-d323-4a50-885b-dabb170ffef4</errorID>
      <errorWord>其它</errorWord>
      <group>L1_Word</group>
      <groupName>字词问题</groupName>
      <ability>L2_Alias</ability>
      <abilityName>也作/曾用词</abilityName>
      <candidateList>
        <item>其他</item>
      </candidateList>
      <explain>词汇[其它]为不规范表述或旧称，其规范书面表述为[其他]。</explain>
      <paraID>5F053FC7</paraID>
      <start>10</start>
      <end>14</end>
      <status>modified</status>
      <modifiedWord>其他</modifiedWord>
      <trackRevisions>true</trackRevisions>
    </reviewItem>
    <reviewItem>
      <errorID>ecc27960-a2c0-452e-9810-121a9e731faf</errorID>
      <errorWord>移至到</errorWord>
      <group>L1_Word</group>
      <groupName>字词问题</groupName>
      <ability>L2_Typo</ability>
      <abilityName>字词错误</abilityName>
      <candidateList>
        <item>移至</item>
      </candidateList>
      <explain/>
      <paraID>63FCB09F</paraID>
      <start>24</start>
      <end>29</end>
      <status>modified</status>
      <modifiedWord>移至</modifiedWord>
      <trackRevisions>true</trackRevisions>
    </reviewItem>
    <reviewItem>
      <errorID>e242aaf6-3d25-46bf-b020-aec85b734b85</errorID>
      <errorWord>;</errorWord>
      <group>L1_Format</group>
      <groupName>格式问题</groupName>
      <ability>L2_HalfPunc</ability>
      <abilityName>全半角检查</abilityName>
      <candidateList>
        <item>；</item>
      </candidateList>
      <explain>文本全半角错误。</explain>
      <paraID>12E98CCE</paraID>
      <start>32</start>
      <end>34</end>
      <status>modified</status>
      <modifiedWord>；</modifiedWord>
      <trackRevisions>true</trackRevisions>
    </reviewItem>
    <reviewItem>
      <errorID>3691d71a-2569-4d6c-b241-c801c471efd2</errorID>
      <errorWord>，。</errorWord>
      <group>L1_Punc</group>
      <groupName>标点问题</groupName>
      <ability>L2_Punc</ability>
      <abilityName>标点符号检查</abilityName>
      <candidateList>
        <item>，</item>
      </candidateList>
      <explain/>
      <paraID> D94E1C3</paraID>
      <start>23</start>
      <end>25</end>
      <status>unmodified</status>
      <modifiedWord/>
      <trackRevisions>false</trackRevisions>
    </reviewItem>
    <reviewItem>
      <errorID>c269c8a4-096f-4ba5-af43-71e02fdaf4ed</errorID>
      <errorWord>刚架</errorWord>
      <group>L1_Word</group>
      <groupName>字词问题</groupName>
      <ability>L2_Typo</ability>
      <abilityName>字词错误</abilityName>
      <candidateList>
        <item>钢架</item>
      </candidateList>
      <explain/>
      <paraID>44377AE3</paraID>
      <start>2</start>
      <end>4</end>
      <status>unmodified</status>
      <modifiedWord/>
      <trackRevisions>false</trackRevisions>
    </reviewItem>
    <reviewItem>
      <errorID>fabf510c-c70e-4fe2-835c-b8d30d7fb72b</errorID>
      <errorWord>刚架</errorWord>
      <group>L1_Word</group>
      <groupName>字词问题</groupName>
      <ability>L2_Typo</ability>
      <abilityName>字词错误</abilityName>
      <candidateList>
        <item>钢架</item>
      </candidateList>
      <explain/>
      <paraID>5418B3A8</paraID>
      <start>6</start>
      <end>8</end>
      <status>unmodified</status>
      <modifiedWord/>
      <trackRevisions>false</trackRevisions>
    </reviewItem>
    <reviewItem>
      <errorID>3c584897-aa50-4d51-b0c7-6c22d9e493b5</errorID>
      <errorWord>(</errorWord>
      <group>L1_Format</group>
      <groupName>格式问题</groupName>
      <ability>L2_HalfPunc</ability>
      <abilityName>全半角检查</abilityName>
      <candidateList>
        <item>（</item>
      </candidateList>
      <explain>文本全半角错误。</explain>
      <paraID>1403953A</paraID>
      <start>27</start>
      <end>28</end>
      <status>unmodified</status>
      <modifiedWord/>
      <trackRevisions>false</trackRevisions>
    </reviewItem>
    <reviewItem>
      <errorID>69d34bf4-9cc5-46b5-87b3-bb0372f8fa5b</errorID>
      <errorWord>)</errorWord>
      <group>L1_Format</group>
      <groupName>格式问题</groupName>
      <ability>L2_HalfPunc</ability>
      <abilityName>全半角检查</abilityName>
      <candidateList>
        <item>）</item>
      </candidateList>
      <explain>文本全半角错误。</explain>
      <paraID>1403953A</paraID>
      <start>30</start>
      <end>31</end>
      <status>unmodified</status>
      <modifiedWord/>
      <trackRevisions>false</trackRevisions>
    </reviewItem>
    <reviewItem>
      <errorID>27951d1f-1f1f-4a49-9c54-3818016d495d</errorID>
      <errorWord>（</errorWord>
      <group>L1_Format</group>
      <groupName>格式问题</groupName>
      <ability>L2_HalfPunc</ability>
      <abilityName>全半角检查</abilityName>
      <candidateList>
        <item>(</item>
      </candidateList>
      <explain>文本全半角错误。</explain>
      <paraID>5F871347</paraID>
      <start>3</start>
      <end>4</end>
      <status>unmodified</status>
      <modifiedWord/>
      <trackRevisions>false</trackRevisions>
    </reviewItem>
    <reviewItem>
      <errorID>e90c0b2e-bdb7-4222-a320-e2960d23fee5</errorID>
      <errorWord>）</errorWord>
      <group>L1_Format</group>
      <groupName>格式问题</groupName>
      <ability>L2_HalfPunc</ability>
      <abilityName>全半角检查</abilityName>
      <candidateList>
        <item>)</item>
      </candidateList>
      <explain>文本全半角错误。</explain>
      <paraID>5F871347</paraID>
      <start>7</start>
      <end>8</end>
      <status>unmodified</status>
      <modifiedWord/>
      <trackRevisions>false</trackRevisions>
    </reviewItem>
    <reviewItem>
      <errorID>2b76e281-0c9f-4d03-8aaa-fae1914bc05f</errorID>
      <errorWord>&gt;</errorWord>
      <group>L1_Punc</group>
      <groupName>标点问题</groupName>
      <ability>L2_Punc</ability>
      <abilityName>标点符号检查</abilityName>
      <candidateList/>
      <explain/>
      <paraID>4BB83847</paraID>
      <start>0</start>
      <end>1</end>
      <status>unmodified</status>
      <modifiedWord/>
      <trackRevisions>false</trackRevisions>
    </reviewItem>
    <reviewItem>
      <errorID>ec2262b0-3954-450b-bb7c-65ace3453971</errorID>
      <errorWord>&gt;</errorWord>
      <group>L1_Punc</group>
      <groupName>标点问题</groupName>
      <ability>L2_Punc</ability>
      <abilityName>标点符号检查</abilityName>
      <candidateList/>
      <explain/>
      <paraID>6DA9C23E</paraID>
      <start>0</start>
      <end>1</end>
      <status>unmodified</status>
      <modifiedWord/>
      <trackRevisions>false</trackRevisions>
    </reviewItem>
    <reviewItem>
      <errorID>05d760eb-6a3a-4fb3-963b-62afcc351637</errorID>
      <errorWord>&gt;</errorWord>
      <group>L1_Punc</group>
      <groupName>标点问题</groupName>
      <ability>L2_Punc</ability>
      <abilityName>标点符号检查</abilityName>
      <candidateList/>
      <explain/>
      <paraID>69991CC1</paraID>
      <start>0</start>
      <end>1</end>
      <status>unmodified</status>
      <modifiedWord/>
      <trackRevisions>false</trackRevisions>
    </reviewItem>
    <reviewItem>
      <errorID>6c3997c6-3cff-4f46-9dfe-83e80e96fbb5</errorID>
      <errorWord>&gt;</errorWord>
      <group>L1_Punc</group>
      <groupName>标点问题</groupName>
      <ability>L2_Punc</ability>
      <abilityName>标点符号检查</abilityName>
      <candidateList/>
      <explain/>
      <paraID>28876A39</paraID>
      <start>0</start>
      <end>1</end>
      <status>unmodified</status>
      <modifiedWord/>
      <trackRevisions>false</trackRevisions>
    </reviewItem>
    <reviewItem>
      <errorID>fe3b0029-ecfa-408f-9329-a87d832b6773</errorID>
      <errorWord>&gt;</errorWord>
      <group>L1_Punc</group>
      <groupName>标点问题</groupName>
      <ability>L2_Punc</ability>
      <abilityName>标点符号检查</abilityName>
      <candidateList/>
      <explain/>
      <paraID>748C7AF9</paraID>
      <start>0</start>
      <end>1</end>
      <status>unmodified</status>
      <modifiedWord/>
      <trackRevisions>false</trackRevisions>
    </reviewItem>
    <reviewItem>
      <errorID>0e582642-c3b0-4f11-ad89-4ca9de872ab2</errorID>
      <errorWord>&gt;</errorWord>
      <group>L1_Punc</group>
      <groupName>标点问题</groupName>
      <ability>L2_Punc</ability>
      <abilityName>标点符号检查</abilityName>
      <candidateList/>
      <explain/>
      <paraID>4E5E0E04</paraID>
      <start>0</start>
      <end>1</end>
      <status>unmodified</status>
      <modifiedWord/>
      <trackRevisions>false</trackRevisions>
    </reviewItem>
    <reviewItem>
      <errorID>d4e6134a-01b0-4b59-972e-c91492381614</errorID>
      <errorWord>综和</errorWord>
      <group>L1_Word</group>
      <groupName>字词问题</groupName>
      <ability>L2_Typo</ability>
      <abilityName>字词错误</abilityName>
      <candidateList>
        <item>综合</item>
      </candidateList>
      <explain/>
      <paraID>7731E5CD</paraID>
      <start>240</start>
      <end>244</end>
      <status>modified</status>
      <modifiedWord>综合</modifiedWord>
      <trackRevisions>true</trackRevisions>
    </reviewItem>
    <reviewItem>
      <errorID>1d1fff16-973a-4ad9-bf64-2b66f653338f</errorID>
      <errorWord>二层</errorWord>
      <group>L1_Word</group>
      <groupName>字词问题</groupName>
      <ability>L2_Typo</ability>
      <abilityName>字词错误</abilityName>
      <candidateList>
        <item>两层</item>
      </candidateList>
      <explain/>
      <paraID>73A956B6</paraID>
      <start>18</start>
      <end>20</end>
      <status>unmodified</status>
      <modifiedWord/>
      <trackRevisions>false</trackRevisions>
    </reviewItem>
    <reviewItem>
      <errorID>562ba71c-32fb-444e-a530-93862f204ffe</errorID>
      <errorWord>(</errorWord>
      <group>L1_Format</group>
      <groupName>格式问题</groupName>
      <ability>L2_HalfPunc</ability>
      <abilityName>全半角检查</abilityName>
      <candidateList>
        <item>（</item>
      </candidateList>
      <explain>文本全半角错误。</explain>
      <paraID>62164216</paraID>
      <start>51</start>
      <end>52</end>
      <status>unmodified</status>
      <modifiedWord/>
      <trackRevisions>false</trackRevisions>
    </reviewItem>
    <reviewItem>
      <errorID>74cc61a6-db4e-4d22-b4cf-02955222e6c0</errorID>
      <errorWord>)</errorWord>
      <group>L1_Format</group>
      <groupName>格式问题</groupName>
      <ability>L2_HalfPunc</ability>
      <abilityName>全半角检查</abilityName>
      <candidateList>
        <item>）</item>
      </candidateList>
      <explain>文本全半角错误。</explain>
      <paraID>62164216</paraID>
      <start>54</start>
      <end>55</end>
      <status>unmodified</status>
      <modifiedWord/>
      <trackRevisions>false</trackRevisions>
    </reviewItem>
    <reviewItem>
      <errorID>a8b8824c-a05a-4767-9657-befc042404d1</errorID>
      <errorWord>支承</errorWord>
      <group>L1_Word</group>
      <groupName>字词问题</groupName>
      <ability>L2_Typo</ability>
      <abilityName>字词错误</abilityName>
      <candidateList>
        <item>支撑</item>
      </candidateList>
      <explain>〈动〉❶抵抗住压力使东西不倒塌：坑道里用柱子～着。❷勉强维持：他～着坐起来，头还在发晕｜一家的生活由他一人～。</explain>
      <paraID>741B87D0</paraID>
      <start>4</start>
      <end>6</end>
      <status>unmodified</status>
      <modifiedWord/>
      <trackRevisions>false</trackRevisions>
    </reviewItem>
    <reviewItem>
      <errorID>8cb78d19-b27a-412e-b3d8-1e5a6f96f342</errorID>
      <errorWord>梢径</errorWord>
      <group>L1_Word</group>
      <groupName>字词问题</groupName>
      <ability>L2_Typo</ability>
      <abilityName>字词错误</abilityName>
      <candidateList>
        <item>直径</item>
      </candidateList>
      <explain/>
      <paraID>261B01B4</paraID>
      <start>3</start>
      <end>5</end>
      <status>unmodified</status>
      <modifiedWord/>
      <trackRevisions>false</trackRevisions>
    </reviewItem>
    <reviewItem>
      <errorID>232ee477-2151-47db-a210-6569d5568b05</errorID>
      <errorWord>&gt;</errorWord>
      <group>L1_Punc</group>
      <groupName>标点问题</groupName>
      <ability>L2_Punc</ability>
      <abilityName>标点符号检查</abilityName>
      <candidateList/>
      <explain/>
      <paraID>21467705</paraID>
      <start>0</start>
      <end>1</end>
      <status>unmodified</status>
      <modifiedWord/>
      <trackRevisions>false</trackRevisions>
    </reviewItem>
    <reviewItem>
      <errorID>03281504-ef3d-4f42-ab26-62e2eb86b5ea</errorID>
      <errorWord>&gt;</errorWord>
      <group>L1_Punc</group>
      <groupName>标点问题</groupName>
      <ability>L2_Punc</ability>
      <abilityName>标点符号检查</abilityName>
      <candidateList/>
      <explain/>
      <paraID>54C82728</paraID>
      <start>0</start>
      <end>1</end>
      <status>unmodified</status>
      <modifiedWord/>
      <trackRevisions>false</trackRevisions>
    </reviewItem>
    <reviewItem>
      <errorID>cf8f8c56-12cb-4190-afff-1307c551527c</errorID>
      <errorWord>)</errorWord>
      <group>L1_Format</group>
      <groupName>格式问题</groupName>
      <ability>L2_HalfPunc</ability>
      <abilityName>全半角检查</abilityName>
      <candidateList>
        <item>）</item>
      </candidateList>
      <explain>文本全半角错误。</explain>
      <paraID>54C82728</paraID>
      <start>16</start>
      <end>17</end>
      <status>unmodified</status>
      <modifiedWord/>
      <trackRevisions>false</trackRevisions>
    </reviewItem>
    <reviewItem>
      <errorID>4e454ad7-74dd-4450-b0b1-ca9ff0dbbd1e</errorID>
      <errorWord>&gt;</errorWord>
      <group>L1_Punc</group>
      <groupName>标点问题</groupName>
      <ability>L2_Punc</ability>
      <abilityName>标点符号检查</abilityName>
      <candidateList/>
      <explain/>
      <paraID>2AAD9670</paraID>
      <start>0</start>
      <end>1</end>
      <status>unmodified</status>
      <modifiedWord/>
      <trackRevisions>false</trackRevisions>
    </reviewItem>
    <reviewItem>
      <errorID>7ab41e57-1044-4580-945e-5bb233a6a62e</errorID>
      <errorWord>)</errorWord>
      <group>L1_Format</group>
      <groupName>格式问题</groupName>
      <ability>L2_HalfPunc</ability>
      <abilityName>全半角检查</abilityName>
      <candidateList>
        <item>）</item>
      </candidateList>
      <explain>文本全半角错误。</explain>
      <paraID>2AAD9670</paraID>
      <start>16</start>
      <end>17</end>
      <status>unmodified</status>
      <modifiedWord/>
      <trackRevisions>false</trackRevisions>
    </reviewItem>
    <reviewItem>
      <errorID>3aa07f59-cc3f-44b0-94a7-b8ef730fa1d6</errorID>
      <errorWord>&gt;</errorWord>
      <group>L1_Punc</group>
      <groupName>标点问题</groupName>
      <ability>L2_Punc</ability>
      <abilityName>标点符号检查</abilityName>
      <candidateList/>
      <explain/>
      <paraID>61C7E68B</paraID>
      <start>0</start>
      <end>1</end>
      <status>unmodified</status>
      <modifiedWord/>
      <trackRevisions>false</trackRevisions>
    </reviewItem>
    <reviewItem>
      <errorID>73529bcd-b063-44d8-9471-29962a271cc2</errorID>
      <errorWord>&gt;</errorWord>
      <group>L1_Punc</group>
      <groupName>标点问题</groupName>
      <ability>L2_Punc</ability>
      <abilityName>标点符号检查</abilityName>
      <candidateList/>
      <explain/>
      <paraID>21EBCC30</paraID>
      <start>0</start>
      <end>1</end>
      <status>unmodified</status>
      <modifiedWord/>
      <trackRevisions>false</trackRevisions>
    </reviewItem>
    <reviewItem>
      <errorID>a6727fb2-a925-44bb-99bb-2165fd28380a</errorID>
      <errorWord>&gt;</errorWord>
      <group>L1_Punc</group>
      <groupName>标点问题</groupName>
      <ability>L2_Punc</ability>
      <abilityName>标点符号检查</abilityName>
      <candidateList/>
      <explain/>
      <paraID>748F413A</paraID>
      <start>0</start>
      <end>1</end>
      <status>unmodified</status>
      <modifiedWord/>
      <trackRevisions>false</trackRevisions>
    </reviewItem>
    <reviewItem>
      <errorID>5c1e6c80-484a-49d2-9572-0f9ee54152ae</errorID>
      <errorWord>&gt;</errorWord>
      <group>L1_Punc</group>
      <groupName>标点问题</groupName>
      <ability>L2_Punc</ability>
      <abilityName>标点符号检查</abilityName>
      <candidateList/>
      <explain/>
      <paraID>5CADF5A4</paraID>
      <start>0</start>
      <end>1</end>
      <status>unmodified</status>
      <modifiedWord/>
      <trackRevisions>false</trackRevisions>
    </reviewItem>
    <reviewItem>
      <errorID>14f688b2-9ae5-41d2-88ef-2ac5d48761cb</errorID>
      <errorWord>&gt;</errorWord>
      <group>L1_Punc</group>
      <groupName>标点问题</groupName>
      <ability>L2_Punc</ability>
      <abilityName>标点符号检查</abilityName>
      <candidateList/>
      <explain/>
      <paraID>3E7CB355</paraID>
      <start>0</start>
      <end>1</end>
      <status>unmodified</status>
      <modifiedWord/>
      <trackRevisions>false</trackRevisions>
    </reviewItem>
    <reviewItem>
      <errorID>fa2c73cc-0518-474a-9943-6254e999706a</errorID>
      <errorWord>&gt;</errorWord>
      <group>L1_Punc</group>
      <groupName>标点问题</groupName>
      <ability>L2_Punc</ability>
      <abilityName>标点符号检查</abilityName>
      <candidateList/>
      <explain/>
      <paraID>64F6D49D</paraID>
      <start>0</start>
      <end>1</end>
      <status>unmodified</status>
      <modifiedWord/>
      <trackRevisions>false</trackRevisions>
    </reviewItem>
    <reviewItem>
      <errorID>c46c1301-8f0f-4438-ad06-95fb17433ad0</errorID>
      <errorWord>~</errorWord>
      <group>L1_Format</group>
      <groupName>格式问题</groupName>
      <ability>L2_HalfPunc</ability>
      <abilityName>全半角检查</abilityName>
      <candidateList>
        <item>～</item>
      </candidateList>
      <explain>文本全半角错误。</explain>
      <paraID>2590505F</paraID>
      <start>17</start>
      <end>18</end>
      <status>unmodified</status>
      <modifiedWord/>
      <trackRevisions>false</trackRevisions>
    </reviewItem>
    <reviewItem>
      <errorID>8d38a723-f2e7-43ee-8b0e-35f457a37556</errorID>
      <errorWord>详实</errorWord>
      <group>L1_Word</group>
      <groupName>字词问题</groupName>
      <ability>L2_Typo</ability>
      <abilityName>字词错误</abilityName>
      <candidateList>
        <item>翔实</item>
      </candidateList>
      <explain/>
      <paraID>3C0DEDA1</paraID>
      <start>34</start>
      <end>36</end>
      <status>unmodified</status>
      <modifiedWord/>
      <trackRevisions>false</trackRevisions>
    </reviewItem>
    <reviewItem>
      <errorID>ea598fa4-303f-49f1-b507-a1b093930ef6</errorID>
      <errorWord>ｃ</errorWord>
      <group>L1_Format</group>
      <groupName>格式问题</groupName>
      <ability>L2_HalfPunc</ability>
      <abilityName>全半角检查</abilityName>
      <candidateList>
        <item>c</item>
      </candidateList>
      <explain>文本全半角错误。</explain>
      <paraID>2E2B8F45</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58a18b-9736-420f-8b4a-9de1a25e4a81}">
  <ds:schemaRefs/>
</ds:datastoreItem>
</file>

<file path=docProps/app.xml><?xml version="1.0" encoding="utf-8"?>
<Properties xmlns="http://schemas.openxmlformats.org/officeDocument/2006/extended-properties" xmlns:vt="http://schemas.openxmlformats.org/officeDocument/2006/docPropsVTypes">
  <Template>Normal.dotm</Template>
  <Pages>43</Pages>
  <Words>236</Words>
  <Characters>240</Characters>
  <Lines>0</Lines>
  <Paragraphs>0</Paragraphs>
  <TotalTime>1544</TotalTime>
  <ScaleCrop>false</ScaleCrop>
  <LinksUpToDate>false</LinksUpToDate>
  <CharactersWithSpaces>240</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2025-02-18T03:18:00Z</dcterms:created>
  <dc:creator>刘伟</dc:creator>
  <cp:lastModifiedBy>win10</cp:lastModifiedBy>
  <cp:lastPrinted>2026-11-04T08:22:00Z</cp:lastPrinted>
  <dcterms:modified xsi:type="dcterms:W3CDTF">2026-11-04T08:43:08Z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C8E26EABB3604093A39895044AA65B73_13</vt:lpwstr>
  </property>
  <property fmtid="{D5CDD505-2E9C-101B-9397-08002B2CF9AE}" pid="4" name="KSOTemplateDocerSaveRecord">
    <vt:lpwstr>eyJoZGlkIjoiMzg0NjFkMzRkN2VhOWIwOGY1ZjQwOTg1YTZjZGQ2YjQiLCJ1c2VySWQiOiIxMzM0NzM2NzIwIn0=</vt:lpwstr>
  </property>
</Properties>
</file>